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1C" w:rsidRPr="006D2466" w:rsidRDefault="0092321C" w:rsidP="004B4FD5">
      <w:pPr>
        <w:ind w:firstLine="720"/>
        <w:rPr>
          <w:rFonts w:ascii="Times New Roman" w:hAnsi="Times New Roman"/>
          <w:sz w:val="28"/>
          <w:szCs w:val="28"/>
        </w:rPr>
      </w:pPr>
    </w:p>
    <w:p w:rsidR="000C0ED2" w:rsidRPr="006D2466" w:rsidRDefault="000C0ED2" w:rsidP="004B4FD5">
      <w:pPr>
        <w:ind w:firstLine="720"/>
        <w:rPr>
          <w:rFonts w:ascii="Times New Roman" w:hAnsi="Times New Roman"/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Default="00456225" w:rsidP="00456225">
      <w:pPr>
        <w:ind w:firstLine="5040"/>
        <w:jc w:val="center"/>
        <w:rPr>
          <w:sz w:val="28"/>
          <w:szCs w:val="28"/>
        </w:rPr>
      </w:pP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6225">
        <w:rPr>
          <w:rFonts w:ascii="Times New Roman" w:hAnsi="Times New Roman"/>
          <w:b/>
          <w:sz w:val="32"/>
          <w:szCs w:val="32"/>
        </w:rPr>
        <w:t>ПОЛОЖЕНИЕ О ДОКТОРАНТУРЕ</w:t>
      </w: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56225" w:rsidRPr="00456225" w:rsidRDefault="00456225" w:rsidP="00456225">
      <w:pPr>
        <w:pStyle w:val="23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56225">
        <w:rPr>
          <w:rFonts w:ascii="Times New Roman" w:hAnsi="Times New Roman"/>
          <w:sz w:val="32"/>
          <w:szCs w:val="32"/>
        </w:rPr>
        <w:t>федерального государственного автономного образовательного</w:t>
      </w:r>
    </w:p>
    <w:p w:rsidR="00456225" w:rsidRPr="00456225" w:rsidRDefault="00456225" w:rsidP="00456225">
      <w:pPr>
        <w:pStyle w:val="23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56225">
        <w:rPr>
          <w:rFonts w:ascii="Times New Roman" w:hAnsi="Times New Roman"/>
          <w:sz w:val="32"/>
          <w:szCs w:val="32"/>
        </w:rPr>
        <w:t>учреждения высшего образования</w:t>
      </w: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456225">
        <w:rPr>
          <w:rFonts w:ascii="Times New Roman" w:hAnsi="Times New Roman"/>
          <w:sz w:val="32"/>
          <w:szCs w:val="32"/>
        </w:rPr>
        <w:t>«Санкт-Петербургский государственный политехнический</w:t>
      </w: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456225">
        <w:rPr>
          <w:rFonts w:ascii="Times New Roman" w:hAnsi="Times New Roman"/>
          <w:sz w:val="32"/>
          <w:szCs w:val="32"/>
        </w:rPr>
        <w:t>университет»</w:t>
      </w:r>
    </w:p>
    <w:p w:rsidR="00456225" w:rsidRPr="00456225" w:rsidRDefault="00456225" w:rsidP="00456225">
      <w:pPr>
        <w:pStyle w:val="af5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456225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Pr="00AB64F6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Pr="00AB64F6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Default="00456225" w:rsidP="00456225">
      <w:pPr>
        <w:spacing w:line="360" w:lineRule="auto"/>
        <w:jc w:val="center"/>
        <w:rPr>
          <w:sz w:val="28"/>
          <w:szCs w:val="28"/>
        </w:rPr>
      </w:pPr>
    </w:p>
    <w:p w:rsidR="00456225" w:rsidRDefault="00456225" w:rsidP="00456225">
      <w:pPr>
        <w:spacing w:line="360" w:lineRule="auto"/>
        <w:rPr>
          <w:sz w:val="28"/>
          <w:szCs w:val="28"/>
        </w:rPr>
      </w:pPr>
    </w:p>
    <w:p w:rsid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B58" w:rsidRDefault="00E60B58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B58" w:rsidRDefault="00E60B58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B58" w:rsidRDefault="00E60B58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B58" w:rsidRPr="00456225" w:rsidRDefault="00E60B58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56225">
        <w:rPr>
          <w:rFonts w:ascii="Times New Roman" w:hAnsi="Times New Roman"/>
          <w:sz w:val="28"/>
          <w:szCs w:val="28"/>
        </w:rPr>
        <w:t>Санкт-Петербург</w:t>
      </w:r>
    </w:p>
    <w:p w:rsid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56225">
        <w:rPr>
          <w:rFonts w:ascii="Times New Roman" w:hAnsi="Times New Roman"/>
          <w:sz w:val="28"/>
          <w:szCs w:val="28"/>
        </w:rPr>
        <w:t>2014</w:t>
      </w:r>
    </w:p>
    <w:p w:rsid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225" w:rsidRPr="00456225" w:rsidRDefault="00456225" w:rsidP="004562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225" w:rsidRDefault="00456225" w:rsidP="00456225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>Общие положения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1080"/>
        <w:contextualSpacing/>
        <w:rPr>
          <w:b/>
          <w:sz w:val="28"/>
          <w:szCs w:val="28"/>
        </w:rPr>
      </w:pPr>
    </w:p>
    <w:p w:rsidR="00456225" w:rsidRPr="00456225" w:rsidRDefault="00456225" w:rsidP="00456225">
      <w:pPr>
        <w:numPr>
          <w:ilvl w:val="0"/>
          <w:numId w:val="3"/>
        </w:numPr>
        <w:tabs>
          <w:tab w:val="left" w:pos="126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456225">
        <w:rPr>
          <w:rFonts w:ascii="Times New Roman" w:hAnsi="Times New Roman"/>
          <w:sz w:val="28"/>
          <w:szCs w:val="28"/>
        </w:rPr>
        <w:t>Настоящее Положение разработано на основании:</w:t>
      </w:r>
    </w:p>
    <w:p w:rsidR="00456225" w:rsidRPr="00456225" w:rsidRDefault="00456225" w:rsidP="00456225">
      <w:pPr>
        <w:numPr>
          <w:ilvl w:val="0"/>
          <w:numId w:val="4"/>
        </w:numPr>
        <w:tabs>
          <w:tab w:val="left" w:pos="1260"/>
        </w:tabs>
        <w:overflowPunct/>
        <w:autoSpaceDE/>
        <w:autoSpaceDN/>
        <w:adjustRightInd/>
        <w:ind w:firstLine="709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456225">
        <w:rPr>
          <w:rFonts w:ascii="Times New Roman" w:hAnsi="Times New Roman"/>
          <w:sz w:val="28"/>
          <w:szCs w:val="28"/>
        </w:rPr>
        <w:t>Федерального закона от 28.08.1996 г. № 127-ФЗ «О науке и государственной научно-технической политике»;</w:t>
      </w:r>
    </w:p>
    <w:p w:rsidR="00456225" w:rsidRPr="00456225" w:rsidRDefault="00456225" w:rsidP="00456225">
      <w:pPr>
        <w:pStyle w:val="af5"/>
        <w:numPr>
          <w:ilvl w:val="0"/>
          <w:numId w:val="4"/>
        </w:numPr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56225">
        <w:rPr>
          <w:sz w:val="28"/>
          <w:szCs w:val="28"/>
        </w:rPr>
        <w:t xml:space="preserve">Положения о докторантуре, утвержденного </w:t>
      </w:r>
      <w:r w:rsidRPr="00456225">
        <w:rPr>
          <w:rStyle w:val="af6"/>
          <w:b w:val="0"/>
          <w:sz w:val="28"/>
          <w:szCs w:val="28"/>
        </w:rPr>
        <w:t>Постановлением Правительства РФ от 04.04.2014 N 267 «Об утверждении Положения о докторантуре».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Настоящее Положение устанавливает порядок приема в докторантуру федерального государственного автономного образовательного учреждения высшего образования «Санкт-Петербургский государственный политехнический университет» (далее –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) научных и педагогических работников (далее - работники); порядок направления в докторантуру сторонний образовательных и научных организаций; требования к работникам, сроки пребывания в докторантуре, размер и порядок осуществления работникам ежемесячных выплат.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В настоящем Положении используемые понятия означают следующее: 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"диссертация" - диссертация на соискание ученой степени доктора наук в докторантуре; 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"докторантура" - форма подготовки научных кадров; 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"докторант" - работник, осуществляющий подготовку диссертации и соответствующий требованиям, указанным в разделе II настоящего Положения.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"направляющая организация" - организация, осуществляющая образовательную или научную деятельность, работники которой направляются для подготовки диссертаций;</w:t>
      </w:r>
    </w:p>
    <w:p w:rsid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"принимающая организация» - организация, в которой осуществляется подготовка диссертации докторантом.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56225" w:rsidRDefault="00456225" w:rsidP="00456225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>Требования к работникам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1080"/>
        <w:contextualSpacing/>
        <w:rPr>
          <w:b/>
          <w:sz w:val="28"/>
          <w:szCs w:val="28"/>
        </w:rPr>
      </w:pP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Работник должен иметь: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стаж педагогической и (или) научной работы не менее 5 лет;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трудовой стаж в направляющей организации не менее 1 года;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</w:t>
      </w:r>
      <w:r w:rsidRPr="00456225">
        <w:rPr>
          <w:sz w:val="28"/>
          <w:szCs w:val="28"/>
        </w:rPr>
        <w:lastRenderedPageBreak/>
        <w:t>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план подготовки диссертации.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56225" w:rsidRDefault="00456225" w:rsidP="00456225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>Порядок направления в докторантуру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1080"/>
        <w:contextualSpacing/>
        <w:rPr>
          <w:b/>
          <w:sz w:val="28"/>
          <w:szCs w:val="28"/>
        </w:rPr>
      </w:pP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Диссертация может быть подготовлена в докторантуре при наличии: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советов </w:t>
      </w:r>
      <w:proofErr w:type="gramStart"/>
      <w:r w:rsidRPr="00456225">
        <w:rPr>
          <w:sz w:val="28"/>
          <w:szCs w:val="28"/>
        </w:rPr>
        <w:t>по защите диссертаций на соискание ученой степени доктора наук по выбранной научной специальности в соответствии с номенклатурой</w:t>
      </w:r>
      <w:proofErr w:type="gramEnd"/>
      <w:r w:rsidRPr="00456225">
        <w:rPr>
          <w:sz w:val="28"/>
          <w:szCs w:val="28"/>
        </w:rPr>
        <w:t xml:space="preserve"> специальностей научных работников, утверждаемой Министерством образования и науки Российской Федерации  (Список научных специальностей, по которым возможно зачисление в докторантуру прилагается);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условий для проведения научных исследований, в том числе предоставление докторанту возможности пользоваться библиотеками, информационными ресурсами, лабораторным оборудованием и иными фондами и ресурсами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организационных условий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56225">
        <w:rPr>
          <w:sz w:val="28"/>
          <w:szCs w:val="28"/>
        </w:rPr>
        <w:t>в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опытно-конструкторских и технологических работ или заключенных (подлежащих заключению) договоров (соглашений) на выполнение работ (в том числе с направляющей организацией) или договоров (соглашений) о предоставлении грантов на проведение работ.</w:t>
      </w:r>
      <w:proofErr w:type="gramEnd"/>
      <w:r w:rsidRPr="00456225">
        <w:rPr>
          <w:sz w:val="28"/>
          <w:szCs w:val="28"/>
        </w:rPr>
        <w:t xml:space="preserve"> При этом направление работ должно соответствовать теме диссертации.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Направление в докторантуру осуществляется на основании заявления работника, к которому прилагаются документы, подтверждающие соответствие работника требованиям, установленным пунктом 5 настоящего Положения.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Заявление работника о направлении в докторантуру подлежит обсуждению на заседании ученого (научного, научно-технического) совета направляющей организации в целях выработки рекомендации этого совета.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Ученый (научный, научно-технический) совет направляющей организации вправе дать рекомендацию руководителю направляющей организации о возможности подготовки работником диссертации в докторантуре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. 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Научно-технический совет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вправе дать рекомендацию проректору по научной работе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о возможности подготовки диссертации работником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в докторантуре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 при условии его соответствия требованиям, установленным пунктом 5 настоящего Положения, на основании </w:t>
      </w:r>
      <w:r w:rsidRPr="00456225">
        <w:rPr>
          <w:sz w:val="28"/>
          <w:szCs w:val="28"/>
        </w:rPr>
        <w:lastRenderedPageBreak/>
        <w:t xml:space="preserve">проведения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конкурсного отбора в порядке, установленном пунктами 9 - 12 настоящего Положения (далее - конкурсный отбор).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Решение о направлении работника в докторантуру принимается руководителем направляющей организации с учетом рекомендации ученого (научного, научно-технического) совета в течение 3 месяцев со дня подачи работником соответствующего заявления.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Направляющая организация в срок не позднее 10 дней после принятия решения о направлении работника в докторантуру подает в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письмо-ходатайство об участии работника, направляемого в докторантуру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, в конкурсном отборе. К указанному письму-ходатайству, подписанному руководителем направляющей организации и заверенному ее печатью, 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достижений, подписанный руководителем направляющей организации и заверенный ее печатью.</w:t>
      </w:r>
    </w:p>
    <w:p w:rsid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В случае направления в докторантуру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сотрудника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в Научно-технический совет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предоставляются рекомендации  кафедры  и совета института, направляющих работника в докторантуру </w:t>
      </w:r>
      <w:proofErr w:type="spellStart"/>
      <w:r w:rsidRPr="00456225">
        <w:rPr>
          <w:sz w:val="28"/>
          <w:szCs w:val="28"/>
        </w:rPr>
        <w:t>СПьбПУ</w:t>
      </w:r>
      <w:proofErr w:type="spellEnd"/>
      <w:r w:rsidRPr="00456225">
        <w:rPr>
          <w:sz w:val="28"/>
          <w:szCs w:val="28"/>
        </w:rPr>
        <w:t>, в форме представления предполагаемого научного консультанта и выписок из протоколов заседаний с решениями о рекомендации. К указанным выпискам из протоколов заседаний, подписанных заведующим кафедрой, и директором института соответственно, 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достижений, подписанный заведующим кафедрой и директором института.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56225" w:rsidRDefault="00456225" w:rsidP="00456225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 xml:space="preserve">Порядок подготовки диссертации в докторантуре </w:t>
      </w:r>
      <w:proofErr w:type="spellStart"/>
      <w:r w:rsidRPr="00456225">
        <w:rPr>
          <w:b/>
          <w:sz w:val="28"/>
          <w:szCs w:val="28"/>
        </w:rPr>
        <w:t>СПбПУ</w:t>
      </w:r>
      <w:proofErr w:type="spellEnd"/>
    </w:p>
    <w:p w:rsidR="00456225" w:rsidRPr="00456225" w:rsidRDefault="00456225" w:rsidP="00456225">
      <w:pPr>
        <w:pStyle w:val="af5"/>
        <w:spacing w:before="0" w:beforeAutospacing="0" w:after="0" w:afterAutospacing="0"/>
        <w:ind w:left="1080"/>
        <w:contextualSpacing/>
        <w:rPr>
          <w:b/>
          <w:sz w:val="28"/>
          <w:szCs w:val="28"/>
        </w:rPr>
      </w:pP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proofErr w:type="gram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объявляет в средствах массовой информации о наличии возможности проведения докторантами научных исследований по темам, указанным в договорах (соглашениях), предусмотренных подпунктом "4" пункта 6 настоящего Положения, с подготовкой по результатам проведенных научных исследований диссертаций по научным специальностям в соответствии с номенклатурой, размещает соответствующую информацию на своем официальном сайте в информационно-телекоммуникационной сети "Интернет" и проводит конкурсный отбор.</w:t>
      </w:r>
      <w:proofErr w:type="gramEnd"/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Порядок конкурсного отбора, в том числе сроки и порядок размещения в средствах массовой информации и в информационно-телекоммуникационной сети "Интернет" объявления, указанного в пункте 11 настоящего Положения, условия проведения научных исследований и  подготовки  диссертаций, количество лиц, принимаемых для подготовки диссертаций, определяются </w:t>
      </w:r>
      <w:proofErr w:type="spellStart"/>
      <w:proofErr w:type="gramStart"/>
      <w:r w:rsidRPr="00456225">
        <w:rPr>
          <w:sz w:val="28"/>
          <w:szCs w:val="28"/>
        </w:rPr>
        <w:t>СПбПУ</w:t>
      </w:r>
      <w:proofErr w:type="spellEnd"/>
      <w:proofErr w:type="gramEnd"/>
      <w:r w:rsidRPr="00456225">
        <w:rPr>
          <w:sz w:val="28"/>
          <w:szCs w:val="28"/>
        </w:rPr>
        <w:t xml:space="preserve"> и утверждается приказом проректора по научной работе.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lastRenderedPageBreak/>
        <w:t xml:space="preserve">По результатам конкурсного отбора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дает заключение о возможности подготовки диссертаций лицами, участвовавшими в конкурсном отборе.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Подготовка диссертации осуществляется в срок до 3 лет. Договором, предусмотренным пунктом 15 настоящего Положения, может быть установлен менее продолжительный срок.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Подготовка диссертации осуществляется на основании договора между направляющей организацией,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и докторантом.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В случае если подготовка диссертации осуществляется в направляющей организации –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, договор заключается между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и докторантом.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Договор, указанный в пункте 15 настоящего Положения, содержит следующие условия: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тема диссертации по научной специальности в соответствии с номенклатурой;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условия проведения научных исследований докторантом;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срок подготовки диссертации;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финансовые обязательства сторон;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основания и порядок расторжения договора;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иные условия (по усмотрению сторон), не противоречащие законодательству Российской Федерации.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осуществляет расходы на создание условий для подготовки диссертации.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Для оказания помощи докторанту в подготовке диссертации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может быть назначен научный консультант из числа докторов наук. 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Оплата труда научного консультанта, в т.ч. количество часов в год на одного докторанта, осуществляется в порядке, установленном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. Научным консультантам могут устанавливаться доплаты без ограничения их предельных размеров.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Оплата труда научных консультантов докторантов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, являющихся работниками направляющей организации, производится за счет средств, предусмотренных договором, заключенным в соответствии с п. 15 настоящего Положения.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Оплата труда научных консультантов докторантов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, являющихся работниками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, производится за счет средств, полученных от выполнения работ, предусмотренных подпунктом «4» пункта 6 настоящего Положения или иных средств, указанных в договоре.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Научно-технический совет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после заключения договора, указанного в пункте 15 настоящего Положения, утверждает индивидуальный план докторанта, согласованный с научным консультантом. Научно-технический совет ежегодно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организацию.</w:t>
      </w:r>
    </w:p>
    <w:p w:rsid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В течение одного месяца со дня представления диссертации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обязан выдать докторанту заключение, предусмотренное пунктом 16 Положения о присуждении ученых степеней, утвержденного постановлением </w:t>
      </w:r>
      <w:r w:rsidRPr="00456225">
        <w:rPr>
          <w:sz w:val="28"/>
          <w:szCs w:val="28"/>
        </w:rPr>
        <w:lastRenderedPageBreak/>
        <w:t xml:space="preserve">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 г"/>
        </w:smartTagPr>
        <w:r w:rsidRPr="00456225">
          <w:rPr>
            <w:sz w:val="28"/>
            <w:szCs w:val="28"/>
          </w:rPr>
          <w:t>2013 г</w:t>
        </w:r>
      </w:smartTag>
      <w:r w:rsidRPr="00456225">
        <w:rPr>
          <w:sz w:val="28"/>
          <w:szCs w:val="28"/>
        </w:rPr>
        <w:t>. № 842 "О порядке присуждения ученых степеней", а также направить копию заключения в направляющую организацию.</w:t>
      </w:r>
    </w:p>
    <w:p w:rsidR="00E60B58" w:rsidRPr="00456225" w:rsidRDefault="00E60B58" w:rsidP="00E60B58">
      <w:pPr>
        <w:pStyle w:val="af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56225" w:rsidRDefault="00456225" w:rsidP="00456225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>Права и обязанности докторантов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left="1080"/>
        <w:contextualSpacing/>
        <w:rPr>
          <w:b/>
          <w:sz w:val="28"/>
          <w:szCs w:val="28"/>
        </w:rPr>
      </w:pP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Докторант имеет право: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пользоваться библиотеками, информационными ресурсами, лабораторным оборудованием и иными фондами и ресурсами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>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участвовать в научных исследованиях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по теме диссертации;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осуществлять иные действия, предусмотренные договором.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За докторантом сохраняются права по месту работы, которые он имел до направления в докторантуру, включая право на присвоение ученого звания и другие права.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Докторант обязан: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проводить научные исследования и осуществлять подготовку диссертации в соответствии с индивидуальным планом;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своевременно выполнять индивидуальный план;</w:t>
      </w:r>
    </w:p>
    <w:p w:rsidR="00456225" w:rsidRP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ежегодно отчитываться перед Научно-техническим советом </w:t>
      </w:r>
      <w:proofErr w:type="spellStart"/>
      <w:r w:rsidRPr="00456225">
        <w:rPr>
          <w:sz w:val="28"/>
          <w:szCs w:val="28"/>
        </w:rPr>
        <w:t>СПбПУ</w:t>
      </w:r>
      <w:proofErr w:type="spellEnd"/>
      <w:r w:rsidRPr="00456225">
        <w:rPr>
          <w:sz w:val="28"/>
          <w:szCs w:val="28"/>
        </w:rPr>
        <w:t xml:space="preserve"> о выполнении индивидуального плана;</w:t>
      </w:r>
    </w:p>
    <w:p w:rsidR="00456225" w:rsidRDefault="00456225" w:rsidP="00456225">
      <w:pPr>
        <w:pStyle w:val="af5"/>
        <w:numPr>
          <w:ilvl w:val="1"/>
          <w:numId w:val="3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исполнять иные обязанности, предусмотренные договором, указанным в пункте 15 настоящего Положения.</w:t>
      </w:r>
    </w:p>
    <w:p w:rsidR="004564A1" w:rsidRPr="00456225" w:rsidRDefault="004564A1" w:rsidP="004564A1">
      <w:pPr>
        <w:pStyle w:val="af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456225" w:rsidRDefault="00456225" w:rsidP="004564A1">
      <w:pPr>
        <w:pStyle w:val="af5"/>
        <w:numPr>
          <w:ilvl w:val="0"/>
          <w:numId w:val="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56225">
        <w:rPr>
          <w:b/>
          <w:sz w:val="28"/>
          <w:szCs w:val="28"/>
        </w:rPr>
        <w:t>Размер и порядок осуществления докторантам ежемесячных выпла</w:t>
      </w:r>
      <w:r w:rsidR="004564A1">
        <w:rPr>
          <w:b/>
          <w:sz w:val="28"/>
          <w:szCs w:val="28"/>
        </w:rPr>
        <w:t>т</w:t>
      </w:r>
    </w:p>
    <w:p w:rsidR="004564A1" w:rsidRPr="00456225" w:rsidRDefault="004564A1" w:rsidP="004564A1">
      <w:pPr>
        <w:pStyle w:val="af5"/>
        <w:spacing w:before="0" w:beforeAutospacing="0" w:after="0" w:afterAutospacing="0"/>
        <w:ind w:left="1080"/>
        <w:contextualSpacing/>
        <w:rPr>
          <w:sz w:val="28"/>
          <w:szCs w:val="28"/>
        </w:rPr>
      </w:pP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Направляющая организация осуществляет докторанту ежемесячные выплаты в размере, равном однократному минимальному </w:t>
      </w:r>
      <w:proofErr w:type="gramStart"/>
      <w:r w:rsidRPr="00456225">
        <w:rPr>
          <w:sz w:val="28"/>
          <w:szCs w:val="28"/>
        </w:rPr>
        <w:t>размеру оплаты труда</w:t>
      </w:r>
      <w:proofErr w:type="gramEnd"/>
      <w:r w:rsidRPr="00456225">
        <w:rPr>
          <w:sz w:val="28"/>
          <w:szCs w:val="28"/>
        </w:rPr>
        <w:t>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В случае если при направлении в докторантуру работник продолжает исполнять свои трудовые (должностные, служебные) обязанности, ежемесячные выплаты производятся дополнительно к заработной плате.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 xml:space="preserve">В случае если направление в докторантуру влечет за собой невозможность исполнения работником </w:t>
      </w:r>
      <w:proofErr w:type="gramStart"/>
      <w:r w:rsidRPr="00456225">
        <w:rPr>
          <w:sz w:val="28"/>
          <w:szCs w:val="28"/>
        </w:rPr>
        <w:t>своих</w:t>
      </w:r>
      <w:proofErr w:type="gramEnd"/>
      <w:r w:rsidRPr="00456225">
        <w:rPr>
          <w:sz w:val="28"/>
          <w:szCs w:val="28"/>
        </w:rPr>
        <w:t xml:space="preserve"> трудовых (должностных, служебных) </w:t>
      </w:r>
    </w:p>
    <w:p w:rsidR="00456225" w:rsidRPr="00456225" w:rsidRDefault="00456225" w:rsidP="0045622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обязанностей, ему (на основании заявления по месту работы) предоставляется отпуск без сохранения заработной платы.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Ежемесячные выплаты осуществляются докторантам в порядке, месте и сроки, которые предусмотрены для выплаты заработной платы.</w:t>
      </w:r>
    </w:p>
    <w:p w:rsidR="00456225" w:rsidRPr="00456225" w:rsidRDefault="00456225" w:rsidP="00456225">
      <w:pPr>
        <w:pStyle w:val="af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6225">
        <w:rPr>
          <w:sz w:val="28"/>
          <w:szCs w:val="28"/>
        </w:rPr>
        <w:t>В случае увольнения работника из направляющей организации осуществление ему ежемесячных выплат прекращается.</w:t>
      </w:r>
    </w:p>
    <w:p w:rsidR="00456225" w:rsidRDefault="00456225" w:rsidP="00456225">
      <w:pPr>
        <w:pStyle w:val="af5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456225" w:rsidRDefault="00456225" w:rsidP="00456225">
      <w:pPr>
        <w:pStyle w:val="af5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sectPr w:rsidR="00456225" w:rsidSect="0092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BE" w:rsidRDefault="009233BE">
      <w:r>
        <w:separator/>
      </w:r>
    </w:p>
  </w:endnote>
  <w:endnote w:type="continuationSeparator" w:id="0">
    <w:p w:rsidR="009233BE" w:rsidRDefault="0092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E30D5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2D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D46">
      <w:rPr>
        <w:rStyle w:val="a6"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E30D5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2D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B58">
      <w:rPr>
        <w:rStyle w:val="a6"/>
        <w:noProof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9216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BE" w:rsidRDefault="009233BE">
      <w:r>
        <w:separator/>
      </w:r>
    </w:p>
  </w:footnote>
  <w:footnote w:type="continuationSeparator" w:id="0">
    <w:p w:rsidR="009233BE" w:rsidRDefault="0092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9216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DF2D46">
    <w:pPr>
      <w:pStyle w:val="a5"/>
      <w:framePr w:wrap="around" w:vAnchor="text" w:hAnchor="margin" w:xAlign="center" w:y="1"/>
      <w:rPr>
        <w:rStyle w:val="a6"/>
      </w:rPr>
    </w:pPr>
  </w:p>
  <w:p w:rsidR="00DF2D46" w:rsidRDefault="00DF2D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9216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6727516"/>
    <w:multiLevelType w:val="hybridMultilevel"/>
    <w:tmpl w:val="4120F00E"/>
    <w:lvl w:ilvl="0" w:tplc="88A2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C63"/>
    <w:multiLevelType w:val="hybridMultilevel"/>
    <w:tmpl w:val="AEF6C7EC"/>
    <w:lvl w:ilvl="0" w:tplc="63343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FF0326"/>
    <w:multiLevelType w:val="hybridMultilevel"/>
    <w:tmpl w:val="881621B0"/>
    <w:lvl w:ilvl="0" w:tplc="A8843B8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sz w:val="28"/>
      </w:rPr>
    </w:lvl>
    <w:lvl w:ilvl="1" w:tplc="5CDE103A">
      <w:start w:val="1"/>
      <w:numFmt w:val="decimal"/>
      <w:lvlText w:val="%2)"/>
      <w:lvlJc w:val="left"/>
      <w:pPr>
        <w:tabs>
          <w:tab w:val="num" w:pos="1134"/>
        </w:tabs>
        <w:ind w:left="0" w:firstLine="794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F0BE4"/>
    <w:multiLevelType w:val="hybridMultilevel"/>
    <w:tmpl w:val="A660416C"/>
    <w:lvl w:ilvl="0" w:tplc="BB7CF768">
      <w:start w:val="1"/>
      <w:numFmt w:val="bullet"/>
      <w:lvlText w:val=""/>
      <w:lvlJc w:val="left"/>
      <w:pPr>
        <w:tabs>
          <w:tab w:val="num" w:pos="1418"/>
        </w:tabs>
        <w:ind w:left="0" w:firstLine="113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4FD5"/>
    <w:rsid w:val="000C0ED2"/>
    <w:rsid w:val="00110C05"/>
    <w:rsid w:val="001425D5"/>
    <w:rsid w:val="0016111C"/>
    <w:rsid w:val="0019732E"/>
    <w:rsid w:val="00231CA4"/>
    <w:rsid w:val="00293254"/>
    <w:rsid w:val="002A6236"/>
    <w:rsid w:val="0032003C"/>
    <w:rsid w:val="00406958"/>
    <w:rsid w:val="00443291"/>
    <w:rsid w:val="00456225"/>
    <w:rsid w:val="004564A1"/>
    <w:rsid w:val="004B4FD5"/>
    <w:rsid w:val="004D3122"/>
    <w:rsid w:val="0051328A"/>
    <w:rsid w:val="00517230"/>
    <w:rsid w:val="006D2466"/>
    <w:rsid w:val="007F1106"/>
    <w:rsid w:val="008C4134"/>
    <w:rsid w:val="009216EC"/>
    <w:rsid w:val="0092321C"/>
    <w:rsid w:val="009233BE"/>
    <w:rsid w:val="0093747E"/>
    <w:rsid w:val="00971DDF"/>
    <w:rsid w:val="00A27039"/>
    <w:rsid w:val="00A9731B"/>
    <w:rsid w:val="00B42D8F"/>
    <w:rsid w:val="00B70EA2"/>
    <w:rsid w:val="00BC7661"/>
    <w:rsid w:val="00BD77D2"/>
    <w:rsid w:val="00C2100F"/>
    <w:rsid w:val="00C45FBF"/>
    <w:rsid w:val="00C8174F"/>
    <w:rsid w:val="00DA19CE"/>
    <w:rsid w:val="00DF2D46"/>
    <w:rsid w:val="00E03EDF"/>
    <w:rsid w:val="00E30D58"/>
    <w:rsid w:val="00E60B58"/>
    <w:rsid w:val="00E71E14"/>
    <w:rsid w:val="00F555B7"/>
    <w:rsid w:val="00F96F5F"/>
    <w:rsid w:val="00FC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D5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rsid w:val="00E30D58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rsid w:val="00E30D58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rsid w:val="00E30D58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rsid w:val="00E30D58"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rsid w:val="00E30D58"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rsid w:val="00E30D58"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rsid w:val="00E30D58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E30D58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E30D5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E30D58"/>
    <w:pPr>
      <w:ind w:firstLine="567"/>
    </w:pPr>
  </w:style>
  <w:style w:type="paragraph" w:styleId="a5">
    <w:name w:val="header"/>
    <w:basedOn w:val="a0"/>
    <w:semiHidden/>
    <w:rsid w:val="00E30D58"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sid w:val="00E30D58"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rsid w:val="00E30D58"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rsid w:val="00E30D58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rsid w:val="00E30D58"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rsid w:val="00E30D58"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  <w:rsid w:val="00E30D58"/>
  </w:style>
  <w:style w:type="table" w:styleId="a7">
    <w:name w:val="Table Grid"/>
    <w:basedOn w:val="a3"/>
    <w:uiPriority w:val="59"/>
    <w:rsid w:val="00B70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0">
    <w:name w:val="toc 7"/>
    <w:basedOn w:val="a0"/>
    <w:next w:val="a0"/>
    <w:semiHidden/>
    <w:rsid w:val="00E30D58"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rsid w:val="00E30D58"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rsid w:val="00E30D58"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rsid w:val="00E30D58"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sid w:val="00E30D58"/>
    <w:rPr>
      <w:i/>
      <w:sz w:val="24"/>
    </w:rPr>
  </w:style>
  <w:style w:type="character" w:customStyle="1" w:styleId="aa">
    <w:name w:val="Определения"/>
    <w:rsid w:val="00E30D58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sid w:val="00E30D58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rsid w:val="00E30D58"/>
    <w:pPr>
      <w:ind w:left="567" w:hanging="567"/>
    </w:pPr>
  </w:style>
  <w:style w:type="paragraph" w:styleId="ad">
    <w:name w:val="footer"/>
    <w:basedOn w:val="a0"/>
    <w:semiHidden/>
    <w:rsid w:val="00E30D58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rsid w:val="00E30D58"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rsid w:val="00E30D58"/>
    <w:pPr>
      <w:ind w:left="567" w:firstLine="0"/>
    </w:pPr>
  </w:style>
  <w:style w:type="paragraph" w:customStyle="1" w:styleId="af">
    <w:name w:val="Пример"/>
    <w:basedOn w:val="a1"/>
    <w:next w:val="a0"/>
    <w:rsid w:val="00E30D58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rsid w:val="00E30D58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rsid w:val="00E30D58"/>
    <w:pPr>
      <w:keepNext/>
      <w:jc w:val="left"/>
    </w:pPr>
    <w:rPr>
      <w:i/>
    </w:rPr>
  </w:style>
  <w:style w:type="paragraph" w:customStyle="1" w:styleId="af2">
    <w:name w:val="Нумерованный"/>
    <w:basedOn w:val="a1"/>
    <w:rsid w:val="00E30D58"/>
  </w:style>
  <w:style w:type="paragraph" w:customStyle="1" w:styleId="af3">
    <w:name w:val="Рисунок"/>
    <w:basedOn w:val="a1"/>
    <w:next w:val="a1"/>
    <w:rsid w:val="00E30D58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rsid w:val="00E30D58"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rsid w:val="00E30D58"/>
    <w:pPr>
      <w:tabs>
        <w:tab w:val="right" w:leader="dot" w:pos="9922"/>
      </w:tabs>
      <w:ind w:left="1100"/>
    </w:pPr>
  </w:style>
  <w:style w:type="paragraph" w:styleId="21">
    <w:name w:val="Body Text Indent 2"/>
    <w:basedOn w:val="a0"/>
    <w:link w:val="22"/>
    <w:uiPriority w:val="99"/>
    <w:semiHidden/>
    <w:unhideWhenUsed/>
    <w:rsid w:val="004562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56225"/>
    <w:rPr>
      <w:rFonts w:ascii="Courier New" w:hAnsi="Courier New"/>
      <w:sz w:val="22"/>
    </w:rPr>
  </w:style>
  <w:style w:type="paragraph" w:styleId="31">
    <w:name w:val="Body Text Indent 3"/>
    <w:basedOn w:val="a0"/>
    <w:link w:val="32"/>
    <w:uiPriority w:val="99"/>
    <w:semiHidden/>
    <w:unhideWhenUsed/>
    <w:rsid w:val="004562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56225"/>
    <w:rPr>
      <w:rFonts w:ascii="Courier New" w:hAnsi="Courier New"/>
      <w:sz w:val="16"/>
      <w:szCs w:val="16"/>
    </w:rPr>
  </w:style>
  <w:style w:type="paragraph" w:styleId="23">
    <w:name w:val="Body Text 2"/>
    <w:basedOn w:val="a0"/>
    <w:link w:val="24"/>
    <w:uiPriority w:val="99"/>
    <w:semiHidden/>
    <w:unhideWhenUsed/>
    <w:rsid w:val="0045622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56225"/>
    <w:rPr>
      <w:rFonts w:ascii="Courier New" w:hAnsi="Courier New"/>
      <w:sz w:val="22"/>
    </w:rPr>
  </w:style>
  <w:style w:type="paragraph" w:styleId="af5">
    <w:name w:val="Normal (Web)"/>
    <w:basedOn w:val="a0"/>
    <w:rsid w:val="004562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6">
    <w:name w:val="Strong"/>
    <w:qFormat/>
    <w:rsid w:val="00456225"/>
    <w:rPr>
      <w:b/>
      <w:bCs/>
    </w:rPr>
  </w:style>
  <w:style w:type="paragraph" w:styleId="af7">
    <w:name w:val="Balloon Text"/>
    <w:basedOn w:val="a0"/>
    <w:link w:val="af8"/>
    <w:uiPriority w:val="99"/>
    <w:semiHidden/>
    <w:unhideWhenUsed/>
    <w:rsid w:val="00E71E14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71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3</cp:revision>
  <cp:lastPrinted>2014-10-10T12:28:00Z</cp:lastPrinted>
  <dcterms:created xsi:type="dcterms:W3CDTF">2015-02-10T12:23:00Z</dcterms:created>
  <dcterms:modified xsi:type="dcterms:W3CDTF">2015-02-10T12:24:00Z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374098</vt:lpwstr>
  </property>
  <property fmtid="{D5CDD505-2E9C-101B-9397-08002B2CF9AE}" pid="3" name="Дата приказа">
    <vt:lpwstr>15.09.2014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835</vt:lpwstr>
  </property>
  <property fmtid="{D5CDD505-2E9C-101B-9397-08002B2CF9AE}" pid="6" name="Информация об ЭЦП вносящего">
    <vt:lpwstr>Н.В. Минина (10.09.2014 18:12:53)</vt:lpwstr>
  </property>
  <property fmtid="{D5CDD505-2E9C-101B-9397-08002B2CF9AE}" pid="7" name="Информация об ЭЦП согласующих">
    <vt:lpwstr>Н.М. Засыпкина (11.09.2014 09:34:18) _x000d_
А.А. Гладченко (12.09.2014 08:39:37) _x000d_
И.Н. Ширяева (12.09.2014 12:49:25)</vt:lpwstr>
  </property>
</Properties>
</file>