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6E" w:rsidRPr="00D53195" w:rsidRDefault="0025046E" w:rsidP="0025046E">
      <w:pPr>
        <w:spacing w:after="0" w:line="240" w:lineRule="auto"/>
        <w:rPr>
          <w:rFonts w:ascii="Times New Roman" w:eastAsia="Times New Roman" w:hAnsi="Times New Roman" w:cs="Times New Roman"/>
          <w:b/>
          <w:sz w:val="24"/>
          <w:szCs w:val="24"/>
          <w:lang w:eastAsia="ru-RU"/>
        </w:rPr>
      </w:pPr>
      <w:r>
        <w:rPr>
          <w:rFonts w:ascii="Calibri" w:eastAsia="Times New Roman" w:hAnsi="Calibri" w:cs="Calibri"/>
          <w:b/>
          <w:color w:val="000000"/>
          <w:sz w:val="24"/>
          <w:szCs w:val="24"/>
          <w:shd w:val="clear" w:color="auto" w:fill="FFFFFF"/>
          <w:lang w:eastAsia="ru-RU"/>
        </w:rPr>
        <w:t>Основные положения У</w:t>
      </w:r>
      <w:r w:rsidRPr="00D53195">
        <w:rPr>
          <w:rFonts w:ascii="Calibri" w:eastAsia="Times New Roman" w:hAnsi="Calibri" w:cs="Calibri"/>
          <w:b/>
          <w:color w:val="000000"/>
          <w:sz w:val="24"/>
          <w:szCs w:val="24"/>
          <w:shd w:val="clear" w:color="auto" w:fill="FFFFFF"/>
          <w:lang w:eastAsia="ru-RU"/>
        </w:rPr>
        <w:t xml:space="preserve">четной политики </w:t>
      </w:r>
      <w:r>
        <w:rPr>
          <w:rFonts w:ascii="Calibri" w:eastAsia="Times New Roman" w:hAnsi="Calibri" w:cs="Calibri"/>
          <w:b/>
          <w:color w:val="000000"/>
          <w:sz w:val="24"/>
          <w:szCs w:val="24"/>
          <w:shd w:val="clear" w:color="auto" w:fill="FFFFFF"/>
          <w:lang w:eastAsia="ru-RU"/>
        </w:rPr>
        <w:t>ФГАОУ ВО «СПбПУ»</w:t>
      </w:r>
    </w:p>
    <w:p w:rsidR="009E0327" w:rsidRDefault="009E0327"/>
    <w:tbl>
      <w:tblPr>
        <w:tblStyle w:val="a4"/>
        <w:tblW w:w="0" w:type="auto"/>
        <w:tblLook w:val="04A0" w:firstRow="1" w:lastRow="0" w:firstColumn="1" w:lastColumn="0" w:noHBand="0" w:noVBand="1"/>
      </w:tblPr>
      <w:tblGrid>
        <w:gridCol w:w="4399"/>
        <w:gridCol w:w="4946"/>
      </w:tblGrid>
      <w:tr w:rsidR="00D04215" w:rsidRPr="00BC6DDC" w:rsidTr="003402E8">
        <w:tc>
          <w:tcPr>
            <w:tcW w:w="4399" w:type="dxa"/>
            <w:vAlign w:val="center"/>
          </w:tcPr>
          <w:p w:rsidR="00D04215" w:rsidRPr="00BC6DDC" w:rsidRDefault="00D04215" w:rsidP="003402E8">
            <w:pPr>
              <w:rPr>
                <w:rFonts w:cstheme="minorHAnsi"/>
              </w:rPr>
            </w:pPr>
            <w:r w:rsidRPr="00AD2060">
              <w:rPr>
                <w:rFonts w:eastAsia="Times New Roman" w:cstheme="minorHAnsi"/>
                <w:color w:val="000000"/>
                <w:lang w:eastAsia="ru-RU"/>
              </w:rPr>
              <w:t>Порядок формирования рабочего плана счетов</w:t>
            </w:r>
          </w:p>
        </w:tc>
        <w:tc>
          <w:tcPr>
            <w:tcW w:w="4946" w:type="dxa"/>
            <w:vAlign w:val="center"/>
          </w:tcPr>
          <w:p w:rsidR="00D04215" w:rsidRPr="00AD2060" w:rsidRDefault="004D425C" w:rsidP="003402E8">
            <w:pPr>
              <w:rPr>
                <w:rFonts w:eastAsia="Times New Roman" w:cstheme="minorHAnsi"/>
                <w:color w:val="000000"/>
                <w:lang w:eastAsia="ru-RU"/>
              </w:rPr>
            </w:pPr>
            <w:hyperlink r:id="rId5" w:history="1">
              <w:r w:rsidR="00D04215" w:rsidRPr="004D425C">
                <w:rPr>
                  <w:rStyle w:val="a3"/>
                  <w:rFonts w:eastAsia="Times New Roman" w:cstheme="minorHAnsi"/>
                  <w:lang w:eastAsia="ru-RU"/>
                </w:rPr>
                <w:t>Прилож</w:t>
              </w:r>
              <w:r w:rsidR="00E83E15" w:rsidRPr="004D425C">
                <w:rPr>
                  <w:rStyle w:val="a3"/>
                  <w:rFonts w:eastAsia="Times New Roman" w:cstheme="minorHAnsi"/>
                  <w:lang w:eastAsia="ru-RU"/>
                </w:rPr>
                <w:t>ение №</w:t>
              </w:r>
              <w:r w:rsidR="00D04215" w:rsidRPr="004D425C">
                <w:rPr>
                  <w:rStyle w:val="a3"/>
                  <w:rFonts w:eastAsia="Times New Roman" w:cstheme="minorHAnsi"/>
                  <w:lang w:eastAsia="ru-RU"/>
                </w:rPr>
                <w:t>1 Учетной политики</w:t>
              </w:r>
            </w:hyperlink>
          </w:p>
        </w:tc>
      </w:tr>
      <w:tr w:rsidR="00D04215" w:rsidRPr="00BC6DDC" w:rsidTr="003402E8">
        <w:tc>
          <w:tcPr>
            <w:tcW w:w="4399" w:type="dxa"/>
            <w:vAlign w:val="center"/>
          </w:tcPr>
          <w:p w:rsidR="00D04215" w:rsidRPr="00BC6DDC" w:rsidRDefault="00D04215" w:rsidP="003402E8">
            <w:pPr>
              <w:rPr>
                <w:rFonts w:cstheme="minorHAnsi"/>
              </w:rPr>
            </w:pPr>
            <w:r w:rsidRPr="00AD2060">
              <w:rPr>
                <w:rFonts w:eastAsia="Times New Roman" w:cstheme="minorHAnsi"/>
                <w:color w:val="000000"/>
                <w:lang w:eastAsia="ru-RU"/>
              </w:rPr>
              <w:t>Правила документооборота, порядок и сроки передачи первичных (сводных) учетных документов</w:t>
            </w:r>
          </w:p>
        </w:tc>
        <w:tc>
          <w:tcPr>
            <w:tcW w:w="4946" w:type="dxa"/>
            <w:vAlign w:val="center"/>
          </w:tcPr>
          <w:p w:rsidR="00D04215" w:rsidRPr="00BC6DDC" w:rsidRDefault="004D425C" w:rsidP="003402E8">
            <w:pPr>
              <w:rPr>
                <w:rFonts w:cstheme="minorHAnsi"/>
              </w:rPr>
            </w:pPr>
            <w:hyperlink r:id="rId6" w:history="1">
              <w:r w:rsidR="00D04215" w:rsidRPr="004D425C">
                <w:rPr>
                  <w:rStyle w:val="a3"/>
                  <w:rFonts w:eastAsia="Times New Roman" w:cstheme="minorHAnsi"/>
                  <w:lang w:eastAsia="ru-RU"/>
                </w:rPr>
                <w:t>Прилож</w:t>
              </w:r>
              <w:r w:rsidR="00E83E15" w:rsidRPr="004D425C">
                <w:rPr>
                  <w:rStyle w:val="a3"/>
                  <w:rFonts w:eastAsia="Times New Roman" w:cstheme="minorHAnsi"/>
                  <w:lang w:eastAsia="ru-RU"/>
                </w:rPr>
                <w:t>ение №</w:t>
              </w:r>
              <w:r w:rsidR="00AF3EF0" w:rsidRPr="004D425C">
                <w:rPr>
                  <w:rStyle w:val="a3"/>
                  <w:rFonts w:eastAsia="Times New Roman" w:cstheme="minorHAnsi"/>
                  <w:lang w:eastAsia="ru-RU"/>
                </w:rPr>
                <w:t>4</w:t>
              </w:r>
              <w:r w:rsidR="00D04215" w:rsidRPr="004D425C">
                <w:rPr>
                  <w:rStyle w:val="a3"/>
                  <w:rFonts w:eastAsia="Times New Roman" w:cstheme="minorHAnsi"/>
                  <w:lang w:eastAsia="ru-RU"/>
                </w:rPr>
                <w:t xml:space="preserve"> Учетной политики</w:t>
              </w:r>
            </w:hyperlink>
          </w:p>
          <w:p w:rsidR="00D04215" w:rsidRPr="00BC6DDC" w:rsidRDefault="00D04215" w:rsidP="003402E8">
            <w:pPr>
              <w:rPr>
                <w:rFonts w:cstheme="minorHAnsi"/>
              </w:rPr>
            </w:pPr>
          </w:p>
        </w:tc>
      </w:tr>
      <w:tr w:rsidR="00D04215" w:rsidRPr="00BC6DDC" w:rsidTr="003402E8">
        <w:tc>
          <w:tcPr>
            <w:tcW w:w="4399" w:type="dxa"/>
            <w:vAlign w:val="center"/>
          </w:tcPr>
          <w:p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Правила осуществления построчного перевода на русский язык первичных (сводных) учетных документов, составленных на иных языках</w:t>
            </w:r>
          </w:p>
        </w:tc>
        <w:tc>
          <w:tcPr>
            <w:tcW w:w="4946" w:type="dxa"/>
            <w:vAlign w:val="center"/>
          </w:tcPr>
          <w:p w:rsidR="00D04215" w:rsidRPr="00BC6DDC" w:rsidRDefault="001D7164" w:rsidP="003402E8">
            <w:pPr>
              <w:rPr>
                <w:rFonts w:cstheme="minorHAnsi"/>
              </w:rPr>
            </w:pPr>
            <w:r w:rsidRPr="001D7164">
              <w:rPr>
                <w:rFonts w:eastAsia="Times New Roman" w:cstheme="minorHAnsi"/>
                <w:color w:val="000000"/>
                <w:lang w:eastAsia="ru-RU"/>
              </w:rPr>
              <w:t>При поступлении первичных документов на иностранных языках осуществлять построчный перевод на русский язык указанных документов силами работников Университета или сторонней организации на основании договора (соглашения) с юридическим или физическим лицом.</w:t>
            </w:r>
          </w:p>
        </w:tc>
      </w:tr>
      <w:tr w:rsidR="00D04215" w:rsidRPr="00BC6DDC" w:rsidTr="003402E8">
        <w:tc>
          <w:tcPr>
            <w:tcW w:w="4399" w:type="dxa"/>
            <w:vAlign w:val="center"/>
          </w:tcPr>
          <w:p w:rsidR="00D04215" w:rsidRPr="00BC6DDC" w:rsidRDefault="00D04215" w:rsidP="003402E8">
            <w:pPr>
              <w:rPr>
                <w:rFonts w:cstheme="minorHAnsi"/>
              </w:rPr>
            </w:pPr>
            <w:r w:rsidRPr="00AD2060">
              <w:rPr>
                <w:rFonts w:eastAsia="Times New Roman" w:cstheme="minorHAnsi"/>
                <w:color w:val="000000"/>
                <w:lang w:eastAsia="ru-RU"/>
              </w:rPr>
              <w:t>Периодичность формирования регистров бухгалтерского учета</w:t>
            </w:r>
          </w:p>
        </w:tc>
        <w:tc>
          <w:tcPr>
            <w:tcW w:w="4946" w:type="dxa"/>
            <w:vAlign w:val="center"/>
          </w:tcPr>
          <w:p w:rsidR="00D04215" w:rsidRPr="00BC6DDC" w:rsidRDefault="004D425C" w:rsidP="003402E8">
            <w:pPr>
              <w:rPr>
                <w:rFonts w:cstheme="minorHAnsi"/>
              </w:rPr>
            </w:pPr>
            <w:hyperlink r:id="rId7" w:history="1">
              <w:r w:rsidR="00E83E15" w:rsidRPr="004D425C">
                <w:rPr>
                  <w:rStyle w:val="a3"/>
                  <w:rFonts w:eastAsia="Times New Roman" w:cstheme="minorHAnsi"/>
                  <w:lang w:eastAsia="ru-RU"/>
                </w:rPr>
                <w:t>Приложение №</w:t>
              </w:r>
              <w:r w:rsidR="001D7164" w:rsidRPr="004D425C">
                <w:rPr>
                  <w:rStyle w:val="a3"/>
                  <w:rFonts w:eastAsia="Times New Roman" w:cstheme="minorHAnsi"/>
                  <w:lang w:eastAsia="ru-RU"/>
                </w:rPr>
                <w:t>5</w:t>
              </w:r>
              <w:r w:rsidR="00D04215" w:rsidRPr="004D425C">
                <w:rPr>
                  <w:rStyle w:val="a3"/>
                  <w:rFonts w:eastAsia="Times New Roman" w:cstheme="minorHAnsi"/>
                  <w:lang w:eastAsia="ru-RU"/>
                </w:rPr>
                <w:t xml:space="preserve"> Учетной политики</w:t>
              </w:r>
            </w:hyperlink>
            <w:bookmarkStart w:id="0" w:name="_GoBack"/>
            <w:bookmarkEnd w:id="0"/>
          </w:p>
        </w:tc>
      </w:tr>
      <w:tr w:rsidR="00D04215" w:rsidRPr="00BC6DDC" w:rsidTr="003402E8">
        <w:tc>
          <w:tcPr>
            <w:tcW w:w="4399" w:type="dxa"/>
            <w:vAlign w:val="center"/>
          </w:tcPr>
          <w:p w:rsidR="00D04215" w:rsidRPr="00BC6DDC" w:rsidRDefault="00D04215" w:rsidP="003402E8">
            <w:pPr>
              <w:rPr>
                <w:rFonts w:cstheme="minorHAnsi"/>
              </w:rPr>
            </w:pPr>
            <w:r w:rsidRPr="00AD2060">
              <w:rPr>
                <w:rFonts w:eastAsia="Times New Roman" w:cstheme="minorHAnsi"/>
                <w:color w:val="000000"/>
                <w:lang w:eastAsia="ru-RU"/>
              </w:rPr>
              <w:t>Сроки и порядок инвентаризации активов и обязательств</w:t>
            </w:r>
          </w:p>
        </w:tc>
        <w:tc>
          <w:tcPr>
            <w:tcW w:w="4946" w:type="dxa"/>
            <w:vAlign w:val="center"/>
          </w:tcPr>
          <w:p w:rsidR="00D04215" w:rsidRPr="00BC6DDC" w:rsidRDefault="004D425C" w:rsidP="002046D2">
            <w:pPr>
              <w:rPr>
                <w:rFonts w:cstheme="minorHAnsi"/>
              </w:rPr>
            </w:pPr>
            <w:hyperlink r:id="rId8" w:history="1">
              <w:r w:rsidR="00E83E15" w:rsidRPr="004D425C">
                <w:rPr>
                  <w:rStyle w:val="a3"/>
                  <w:rFonts w:eastAsia="Times New Roman" w:cstheme="minorHAnsi"/>
                  <w:lang w:eastAsia="ru-RU"/>
                </w:rPr>
                <w:t>Приложение №</w:t>
              </w:r>
              <w:r w:rsidR="00D04215" w:rsidRPr="004D425C">
                <w:rPr>
                  <w:rStyle w:val="a3"/>
                  <w:rFonts w:eastAsia="Times New Roman" w:cstheme="minorHAnsi"/>
                  <w:lang w:eastAsia="ru-RU"/>
                </w:rPr>
                <w:t>1</w:t>
              </w:r>
              <w:r w:rsidR="002046D2" w:rsidRPr="004D425C">
                <w:rPr>
                  <w:rStyle w:val="a3"/>
                  <w:rFonts w:eastAsia="Times New Roman" w:cstheme="minorHAnsi"/>
                  <w:lang w:eastAsia="ru-RU"/>
                </w:rPr>
                <w:t>4</w:t>
              </w:r>
              <w:r w:rsidR="00D04215" w:rsidRPr="004D425C">
                <w:rPr>
                  <w:rStyle w:val="a3"/>
                  <w:rFonts w:eastAsia="Times New Roman" w:cstheme="minorHAnsi"/>
                  <w:lang w:eastAsia="ru-RU"/>
                </w:rPr>
                <w:t xml:space="preserve"> Учетной политики</w:t>
              </w:r>
            </w:hyperlink>
          </w:p>
        </w:tc>
      </w:tr>
      <w:tr w:rsidR="00D04215" w:rsidRPr="00BC6DDC" w:rsidTr="003402E8">
        <w:tc>
          <w:tcPr>
            <w:tcW w:w="4399" w:type="dxa"/>
            <w:vAlign w:val="center"/>
          </w:tcPr>
          <w:p w:rsidR="00D04215" w:rsidRPr="00BC6DDC" w:rsidRDefault="00D04215" w:rsidP="003402E8">
            <w:pPr>
              <w:tabs>
                <w:tab w:val="left" w:pos="3300"/>
              </w:tabs>
              <w:rPr>
                <w:rFonts w:cstheme="minorHAnsi"/>
              </w:rPr>
            </w:pPr>
            <w:r w:rsidRPr="00AD2060">
              <w:rPr>
                <w:rFonts w:eastAsia="Times New Roman" w:cstheme="minorHAnsi"/>
                <w:color w:val="000000"/>
                <w:lang w:eastAsia="ru-RU"/>
              </w:rPr>
              <w:t>Порядок присв</w:t>
            </w:r>
            <w:r w:rsidRPr="00BC6DDC">
              <w:rPr>
                <w:rFonts w:eastAsia="Times New Roman" w:cstheme="minorHAnsi"/>
                <w:color w:val="000000"/>
                <w:lang w:eastAsia="ru-RU"/>
              </w:rPr>
              <w:t>о</w:t>
            </w:r>
            <w:r w:rsidRPr="00AD2060">
              <w:rPr>
                <w:rFonts w:eastAsia="Times New Roman" w:cstheme="minorHAnsi"/>
                <w:color w:val="000000"/>
                <w:lang w:eastAsia="ru-RU"/>
              </w:rPr>
              <w:t>ения инвентарных номеров объектам основных средств</w:t>
            </w:r>
          </w:p>
        </w:tc>
        <w:tc>
          <w:tcPr>
            <w:tcW w:w="4946" w:type="dxa"/>
            <w:vAlign w:val="center"/>
          </w:tcPr>
          <w:p w:rsidR="00D04215" w:rsidRPr="00BC6DDC" w:rsidRDefault="00F77B7F" w:rsidP="00DE2F96">
            <w:pPr>
              <w:rPr>
                <w:rFonts w:cstheme="minorHAnsi"/>
              </w:rPr>
            </w:pPr>
            <w:hyperlink r:id="rId9" w:history="1">
              <w:r w:rsidR="00E83E15" w:rsidRPr="00F77B7F">
                <w:rPr>
                  <w:rStyle w:val="a3"/>
                  <w:rFonts w:eastAsia="Times New Roman" w:cstheme="minorHAnsi"/>
                  <w:lang w:eastAsia="ru-RU"/>
                </w:rPr>
                <w:t>Приложение №</w:t>
              </w:r>
              <w:r w:rsidR="00D04215" w:rsidRPr="00F77B7F">
                <w:rPr>
                  <w:rStyle w:val="a3"/>
                  <w:rFonts w:eastAsia="Times New Roman" w:cstheme="minorHAnsi"/>
                  <w:lang w:eastAsia="ru-RU"/>
                </w:rPr>
                <w:t>2</w:t>
              </w:r>
              <w:r w:rsidR="002046D2" w:rsidRPr="00F77B7F">
                <w:rPr>
                  <w:rStyle w:val="a3"/>
                  <w:rFonts w:eastAsia="Times New Roman" w:cstheme="minorHAnsi"/>
                  <w:lang w:eastAsia="ru-RU"/>
                </w:rPr>
                <w:t>0</w:t>
              </w:r>
              <w:r w:rsidR="00D04215" w:rsidRPr="00F77B7F">
                <w:rPr>
                  <w:rStyle w:val="a3"/>
                  <w:rFonts w:eastAsia="Times New Roman" w:cstheme="minorHAnsi"/>
                  <w:lang w:eastAsia="ru-RU"/>
                </w:rPr>
                <w:t xml:space="preserve"> Учетной политики</w:t>
              </w:r>
            </w:hyperlink>
          </w:p>
        </w:tc>
      </w:tr>
      <w:tr w:rsidR="00D04215" w:rsidRPr="00BC6DDC" w:rsidTr="003402E8">
        <w:tc>
          <w:tcPr>
            <w:tcW w:w="4399" w:type="dxa"/>
            <w:vAlign w:val="center"/>
          </w:tcPr>
          <w:p w:rsidR="00D04215" w:rsidRPr="00BC6DDC" w:rsidRDefault="00D04215" w:rsidP="003402E8">
            <w:pPr>
              <w:rPr>
                <w:rFonts w:cstheme="minorHAnsi"/>
              </w:rPr>
            </w:pPr>
            <w:r w:rsidRPr="00AD2060">
              <w:rPr>
                <w:rFonts w:eastAsia="Times New Roman" w:cstheme="minorHAnsi"/>
                <w:color w:val="000000"/>
                <w:lang w:eastAsia="ru-RU"/>
              </w:rPr>
              <w:t>Объединение объектов основных средств, срок полезного использования которых одинаков, стоимость которых не является существенной,  в один инвентарный объект, приз</w:t>
            </w:r>
            <w:r w:rsidRPr="00BC6DDC">
              <w:rPr>
                <w:rFonts w:eastAsia="Times New Roman" w:cstheme="minorHAnsi"/>
                <w:color w:val="000000"/>
                <w:lang w:eastAsia="ru-RU"/>
              </w:rPr>
              <w:t>н</w:t>
            </w:r>
            <w:r w:rsidRPr="00AD2060">
              <w:rPr>
                <w:rFonts w:eastAsia="Times New Roman" w:cstheme="minorHAnsi"/>
                <w:color w:val="000000"/>
                <w:lang w:eastAsia="ru-RU"/>
              </w:rPr>
              <w:t>аваемый для целей бухгалтерского учета комплексом объектов основных средств</w:t>
            </w:r>
          </w:p>
        </w:tc>
        <w:tc>
          <w:tcPr>
            <w:tcW w:w="4946" w:type="dxa"/>
            <w:vAlign w:val="center"/>
          </w:tcPr>
          <w:p w:rsidR="00D04215" w:rsidRPr="00AD2060" w:rsidRDefault="00D04215" w:rsidP="00D77AB5">
            <w:pPr>
              <w:rPr>
                <w:rFonts w:eastAsia="Times New Roman" w:cstheme="minorHAnsi"/>
                <w:color w:val="000000"/>
                <w:lang w:eastAsia="ru-RU"/>
              </w:rPr>
            </w:pPr>
            <w:r w:rsidRPr="00AD2060">
              <w:rPr>
                <w:rFonts w:eastAsia="Times New Roman" w:cstheme="minorHAnsi"/>
                <w:color w:val="000000"/>
                <w:lang w:eastAsia="ru-RU"/>
              </w:rPr>
              <w:t xml:space="preserve">В один инвентарный объект объединять объекты библиотечного фонда, признаваемые комплексом объектов основных средств, как объекты имущества несущественной стоимости, имеющие одинаковые сроки полезного и ожидаемого использования. Не считается существенной стоимость до </w:t>
            </w:r>
            <w:r w:rsidR="00D77AB5">
              <w:rPr>
                <w:rFonts w:eastAsia="Times New Roman" w:cstheme="minorHAnsi"/>
                <w:color w:val="000000"/>
                <w:lang w:eastAsia="ru-RU"/>
              </w:rPr>
              <w:t>2</w:t>
            </w:r>
            <w:r w:rsidRPr="00AD2060">
              <w:rPr>
                <w:rFonts w:eastAsia="Times New Roman" w:cstheme="minorHAnsi"/>
                <w:color w:val="000000"/>
                <w:lang w:eastAsia="ru-RU"/>
              </w:rPr>
              <w:t>0 000 рубл</w:t>
            </w:r>
            <w:r>
              <w:rPr>
                <w:rFonts w:eastAsia="Times New Roman" w:cstheme="minorHAnsi"/>
                <w:color w:val="000000"/>
                <w:lang w:eastAsia="ru-RU"/>
              </w:rPr>
              <w:t>ей за один имущественный объект</w:t>
            </w:r>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Затраты на замену отдельных составных частей объекта включаются в стоимость объекта основных средств в момент их возникновения, при этом стоимость объекта основ</w:t>
            </w:r>
            <w:r w:rsidRPr="00BC6DDC">
              <w:rPr>
                <w:rFonts w:eastAsia="Times New Roman" w:cstheme="minorHAnsi"/>
                <w:color w:val="000000"/>
                <w:lang w:eastAsia="ru-RU"/>
              </w:rPr>
              <w:t>н</w:t>
            </w:r>
            <w:r w:rsidRPr="00AD2060">
              <w:rPr>
                <w:rFonts w:eastAsia="Times New Roman" w:cstheme="minorHAnsi"/>
                <w:color w:val="000000"/>
                <w:lang w:eastAsia="ru-RU"/>
              </w:rPr>
              <w:t>ых средств уменьшается на стоимость заменяемых (</w:t>
            </w:r>
            <w:proofErr w:type="spellStart"/>
            <w:r w:rsidRPr="00AD2060">
              <w:rPr>
                <w:rFonts w:eastAsia="Times New Roman" w:cstheme="minorHAnsi"/>
                <w:color w:val="000000"/>
                <w:lang w:eastAsia="ru-RU"/>
              </w:rPr>
              <w:t>выбываемых</w:t>
            </w:r>
            <w:proofErr w:type="spellEnd"/>
            <w:r w:rsidRPr="00AD2060">
              <w:rPr>
                <w:rFonts w:eastAsia="Times New Roman" w:cstheme="minorHAnsi"/>
                <w:color w:val="000000"/>
                <w:lang w:eastAsia="ru-RU"/>
              </w:rPr>
              <w:t>) частей</w:t>
            </w:r>
          </w:p>
        </w:tc>
        <w:tc>
          <w:tcPr>
            <w:tcW w:w="4946" w:type="dxa"/>
            <w:vAlign w:val="center"/>
          </w:tcPr>
          <w:p w:rsidR="00D04215" w:rsidRPr="00BC6DDC" w:rsidRDefault="00D77AB5" w:rsidP="003402E8">
            <w:pPr>
              <w:rPr>
                <w:rFonts w:eastAsia="Times New Roman" w:cstheme="minorHAnsi"/>
                <w:color w:val="000000"/>
                <w:lang w:eastAsia="ru-RU"/>
              </w:rPr>
            </w:pPr>
            <w:r w:rsidRPr="00D77AB5">
              <w:rPr>
                <w:rFonts w:eastAsia="Times New Roman" w:cstheme="minorHAnsi"/>
                <w:color w:val="000000"/>
                <w:lang w:eastAsia="ru-RU"/>
              </w:rPr>
              <w:t>В соответствии с правом самостоятельно устанавливать группы основных средств, для которых будет производится изменение балансовой стоимости при замене частей, предоставленным субъектам учета на основании СГС «Основные средства», принять что ФГАОУ ВО «СПбПУ» ни для каких групп основных средств не будет изменять балансовую стоимость основных средств при замене частей. Пункты 27,28 СГС «Основные средства» ФГАОУ ВО «СПбПУ» не применять</w:t>
            </w:r>
          </w:p>
        </w:tc>
      </w:tr>
      <w:tr w:rsidR="00D04215" w:rsidRPr="00BC6DDC" w:rsidTr="00F67DAC">
        <w:trPr>
          <w:trHeight w:val="3526"/>
        </w:trPr>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Затраты на создание активов при проведении регулярных осмотров на предмет наличия дефектов, а также при проведении ремонтов формируют объем произведенных капитальных вложений с дальнейшим признанием в стоимости объекта основных средств.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tc>
        <w:tc>
          <w:tcPr>
            <w:tcW w:w="4946" w:type="dxa"/>
            <w:vAlign w:val="center"/>
          </w:tcPr>
          <w:p w:rsidR="00D04215" w:rsidRPr="00606EAE" w:rsidRDefault="00D77AB5" w:rsidP="00D77AB5">
            <w:pPr>
              <w:rPr>
                <w:rFonts w:eastAsia="Times New Roman" w:cstheme="minorHAnsi"/>
                <w:color w:val="000000"/>
                <w:lang w:eastAsia="ru-RU"/>
              </w:rPr>
            </w:pPr>
            <w:r w:rsidRPr="00D77AB5">
              <w:rPr>
                <w:rFonts w:eastAsia="Times New Roman" w:cstheme="minorHAnsi"/>
                <w:color w:val="000000"/>
                <w:lang w:eastAsia="ru-RU"/>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(в том числе на регулярные осмотры для выявления дефектов, являющиеся обязательным условием эксплуатации этого объекта). Расходы на ремонт и обслуживание не увеличивают баланс</w:t>
            </w:r>
            <w:r>
              <w:rPr>
                <w:rFonts w:eastAsia="Times New Roman" w:cstheme="minorHAnsi"/>
                <w:color w:val="000000"/>
                <w:lang w:eastAsia="ru-RU"/>
              </w:rPr>
              <w:t>овую стоимость основных средств</w:t>
            </w:r>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lastRenderedPageBreak/>
              <w:t>Метод начисления амортизации на объекты основных средств</w:t>
            </w:r>
          </w:p>
        </w:tc>
        <w:tc>
          <w:tcPr>
            <w:tcW w:w="4946"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Начисление амортизации производить линейным методом. Данный метод предполагает равномерное начисление постоянной суммы амортизации на протяжении всего срока полезного использ</w:t>
            </w:r>
            <w:r>
              <w:rPr>
                <w:rFonts w:eastAsia="Times New Roman" w:cstheme="minorHAnsi"/>
                <w:color w:val="000000"/>
                <w:lang w:eastAsia="ru-RU"/>
              </w:rPr>
              <w:t>ования актива</w:t>
            </w:r>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начисления амортизации и срок полезного использования структурной части объекта</w:t>
            </w:r>
          </w:p>
        </w:tc>
        <w:tc>
          <w:tcPr>
            <w:tcW w:w="4946"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Не признавать структурную часть объекта имущества как самостоятельную</w:t>
            </w:r>
            <w:r>
              <w:rPr>
                <w:rFonts w:eastAsia="Times New Roman" w:cstheme="minorHAnsi"/>
                <w:color w:val="000000"/>
                <w:lang w:eastAsia="ru-RU"/>
              </w:rPr>
              <w:t xml:space="preserve"> единицу учета основных средств</w:t>
            </w:r>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учета накопленной амортизации при переоценке объекта основных средств</w:t>
            </w:r>
          </w:p>
        </w:tc>
        <w:tc>
          <w:tcPr>
            <w:tcW w:w="4946" w:type="dxa"/>
            <w:vAlign w:val="center"/>
          </w:tcPr>
          <w:p w:rsidR="00D04215" w:rsidRPr="00BC6DDC" w:rsidRDefault="00402BAE" w:rsidP="003402E8">
            <w:pPr>
              <w:rPr>
                <w:rFonts w:eastAsia="Times New Roman" w:cstheme="minorHAnsi"/>
                <w:color w:val="000000"/>
                <w:lang w:eastAsia="ru-RU"/>
              </w:rPr>
            </w:pPr>
            <w:r w:rsidRPr="00402BAE">
              <w:rPr>
                <w:rFonts w:eastAsia="Times New Roman" w:cstheme="minorHAnsi"/>
                <w:color w:val="000000"/>
                <w:lang w:eastAsia="ru-RU"/>
              </w:rPr>
              <w:t>При переоценке объекта основных средств (в том числе объектов основных средств, отчуждаемых не в пользу организаций государственного сектора) сумму накопленной амортизации, исчисленную на дату переоценки, учитывать способом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tc>
      </w:tr>
      <w:tr w:rsidR="00D04215" w:rsidRPr="00BC6DDC" w:rsidTr="003402E8">
        <w:tc>
          <w:tcPr>
            <w:tcW w:w="4399" w:type="dxa"/>
            <w:vAlign w:val="center"/>
          </w:tcPr>
          <w:p w:rsidR="00D04215" w:rsidRPr="00AD2060" w:rsidRDefault="000B625B" w:rsidP="003402E8">
            <w:pPr>
              <w:rPr>
                <w:rFonts w:eastAsia="Times New Roman" w:cstheme="minorHAnsi"/>
                <w:color w:val="000000"/>
                <w:lang w:eastAsia="ru-RU"/>
              </w:rPr>
            </w:pPr>
            <w:r>
              <w:rPr>
                <w:rFonts w:eastAsia="Times New Roman" w:cstheme="minorHAnsi"/>
                <w:color w:val="000000"/>
                <w:lang w:eastAsia="ru-RU"/>
              </w:rPr>
              <w:t>Единица</w:t>
            </w:r>
            <w:r w:rsidR="00D04215" w:rsidRPr="00AD2060">
              <w:rPr>
                <w:rFonts w:eastAsia="Times New Roman" w:cstheme="minorHAnsi"/>
                <w:color w:val="000000"/>
                <w:lang w:eastAsia="ru-RU"/>
              </w:rPr>
              <w:t xml:space="preserve"> бухгалтерского учета по каждому виду резервов в целях формирования и раскрытия полной и достоверной информации о резервах</w:t>
            </w:r>
          </w:p>
        </w:tc>
        <w:tc>
          <w:tcPr>
            <w:tcW w:w="4946" w:type="dxa"/>
            <w:vAlign w:val="center"/>
          </w:tcPr>
          <w:p w:rsidR="00D04215" w:rsidRPr="00AD2060" w:rsidRDefault="000B625B" w:rsidP="003402E8">
            <w:pPr>
              <w:rPr>
                <w:rFonts w:eastAsia="Times New Roman" w:cstheme="minorHAnsi"/>
                <w:color w:val="000000"/>
                <w:lang w:eastAsia="ru-RU"/>
              </w:rPr>
            </w:pPr>
            <w:r>
              <w:rPr>
                <w:rFonts w:eastAsia="Times New Roman" w:cstheme="minorHAnsi"/>
                <w:color w:val="000000"/>
                <w:lang w:eastAsia="ru-RU"/>
              </w:rPr>
              <w:t>Рубль</w:t>
            </w:r>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определения справедливой стоимости активов и обязательств</w:t>
            </w:r>
          </w:p>
        </w:tc>
        <w:tc>
          <w:tcPr>
            <w:tcW w:w="4946" w:type="dxa"/>
            <w:vAlign w:val="center"/>
          </w:tcPr>
          <w:p w:rsidR="00D04215" w:rsidRDefault="00D04215" w:rsidP="003402E8">
            <w:pPr>
              <w:rPr>
                <w:rFonts w:eastAsia="Times New Roman" w:cstheme="minorHAnsi"/>
                <w:color w:val="000000"/>
                <w:lang w:eastAsia="ru-RU"/>
              </w:rPr>
            </w:pPr>
            <w:r w:rsidRPr="00AD2060">
              <w:rPr>
                <w:rFonts w:eastAsia="Times New Roman" w:cstheme="minorHAnsi"/>
                <w:color w:val="000000"/>
                <w:lang w:eastAsia="ru-RU"/>
              </w:rPr>
              <w:t>Применять следующие методы оценки справедливой стоимости (денежного измерения) объ</w:t>
            </w:r>
            <w:r>
              <w:rPr>
                <w:rFonts w:eastAsia="Times New Roman" w:cstheme="minorHAnsi"/>
                <w:color w:val="000000"/>
                <w:lang w:eastAsia="ru-RU"/>
              </w:rPr>
              <w:t xml:space="preserve">ектов нефинансовых активов: </w:t>
            </w:r>
          </w:p>
          <w:p w:rsidR="00D04215" w:rsidRDefault="00D04215" w:rsidP="00D04215">
            <w:pPr>
              <w:pStyle w:val="a5"/>
              <w:numPr>
                <w:ilvl w:val="0"/>
                <w:numId w:val="2"/>
              </w:numPr>
              <w:ind w:left="33" w:firstLine="0"/>
              <w:rPr>
                <w:rFonts w:eastAsia="Times New Roman" w:cstheme="minorHAnsi"/>
                <w:color w:val="000000"/>
                <w:lang w:eastAsia="ru-RU"/>
              </w:rPr>
            </w:pPr>
            <w:r w:rsidRPr="00606EAE">
              <w:rPr>
                <w:rFonts w:eastAsia="Times New Roman" w:cstheme="minorHAnsi"/>
                <w:color w:val="000000"/>
                <w:lang w:eastAsia="ru-RU"/>
              </w:rPr>
              <w:t>метод рыночных цен. Рыночная цена - это цена, которая может быть получена (уплачена) при продаже актива (обязательства) между независимыми сторонами сделки, осведомленными о предмете сделки и желающими ее совершить. Учесть, что рыночной не может быть цена, рассчитанная с учетом завышения или занижения в результате особых условий или обстоятельств, специальных условий или скидок (вычетов, премий, льгот), которые предоставляются любой стороной, связанной с</w:t>
            </w:r>
            <w:r>
              <w:rPr>
                <w:rFonts w:eastAsia="Times New Roman" w:cstheme="minorHAnsi"/>
                <w:color w:val="000000"/>
                <w:lang w:eastAsia="ru-RU"/>
              </w:rPr>
              <w:t xml:space="preserve"> фактом хозяйственной жизни;</w:t>
            </w:r>
          </w:p>
          <w:p w:rsidR="00D04215" w:rsidRDefault="00D04215" w:rsidP="00D04215">
            <w:pPr>
              <w:pStyle w:val="a5"/>
              <w:numPr>
                <w:ilvl w:val="0"/>
                <w:numId w:val="2"/>
              </w:numPr>
              <w:ind w:left="33" w:firstLine="0"/>
              <w:rPr>
                <w:rFonts w:eastAsia="Times New Roman" w:cstheme="minorHAnsi"/>
                <w:color w:val="000000"/>
                <w:lang w:eastAsia="ru-RU"/>
              </w:rPr>
            </w:pPr>
            <w:r w:rsidRPr="00606EAE">
              <w:rPr>
                <w:rFonts w:eastAsia="Times New Roman" w:cstheme="minorHAnsi"/>
                <w:color w:val="000000"/>
                <w:lang w:eastAsia="ru-RU"/>
              </w:rPr>
              <w:t>метод амортизированной стоимости замеще</w:t>
            </w:r>
            <w:r>
              <w:rPr>
                <w:rFonts w:eastAsia="Times New Roman" w:cstheme="minorHAnsi"/>
                <w:color w:val="000000"/>
                <w:lang w:eastAsia="ru-RU"/>
              </w:rPr>
              <w:t>ния, при котором учитывается:</w:t>
            </w:r>
          </w:p>
          <w:p w:rsidR="00D04215" w:rsidRDefault="00D04215" w:rsidP="00D04215">
            <w:pPr>
              <w:pStyle w:val="a5"/>
              <w:numPr>
                <w:ilvl w:val="1"/>
                <w:numId w:val="2"/>
              </w:numPr>
              <w:ind w:left="33" w:firstLine="0"/>
              <w:rPr>
                <w:rFonts w:eastAsia="Times New Roman" w:cstheme="minorHAnsi"/>
                <w:color w:val="000000"/>
                <w:lang w:eastAsia="ru-RU"/>
              </w:rPr>
            </w:pPr>
            <w:r w:rsidRPr="00606EAE">
              <w:rPr>
                <w:rFonts w:eastAsia="Times New Roman" w:cstheme="minorHAnsi"/>
                <w:color w:val="000000"/>
                <w:lang w:eastAsia="ru-RU"/>
              </w:rPr>
              <w:t>стоимость восстановления (воспроизводства) актива - это стоимость полного восстановления (воспроизводства) пол</w:t>
            </w:r>
            <w:r>
              <w:rPr>
                <w:rFonts w:eastAsia="Times New Roman" w:cstheme="minorHAnsi"/>
                <w:color w:val="000000"/>
                <w:lang w:eastAsia="ru-RU"/>
              </w:rPr>
              <w:t>езного потенциала актива;</w:t>
            </w:r>
          </w:p>
          <w:p w:rsidR="00D04215" w:rsidRPr="00606EAE" w:rsidRDefault="00D04215" w:rsidP="00D04215">
            <w:pPr>
              <w:pStyle w:val="a5"/>
              <w:numPr>
                <w:ilvl w:val="1"/>
                <w:numId w:val="2"/>
              </w:numPr>
              <w:ind w:left="33" w:firstLine="0"/>
              <w:rPr>
                <w:rFonts w:eastAsia="Times New Roman" w:cstheme="minorHAnsi"/>
                <w:color w:val="000000"/>
                <w:lang w:eastAsia="ru-RU"/>
              </w:rPr>
            </w:pPr>
            <w:r w:rsidRPr="00606EAE">
              <w:rPr>
                <w:rFonts w:eastAsia="Times New Roman" w:cstheme="minorHAnsi"/>
                <w:color w:val="000000"/>
                <w:lang w:eastAsia="ru-RU"/>
              </w:rPr>
              <w:t>стоимость замены актива - это рыночная цена покупки аналогичного актива с сопоставимым оставшимся сроком полезного использования.</w:t>
            </w:r>
            <w:r w:rsidRPr="00606EAE">
              <w:rPr>
                <w:rFonts w:eastAsia="Times New Roman" w:cstheme="minorHAnsi"/>
                <w:color w:val="000000"/>
                <w:lang w:eastAsia="ru-RU"/>
              </w:rPr>
              <w:br/>
              <w:t>Осмотрительно применять метод, который позволяет наиболее достоверно оценить справедливую стоимость соответствующего объекта, либо тот, который предусмотрен специально для оценки такого объекта</w:t>
            </w:r>
          </w:p>
        </w:tc>
      </w:tr>
      <w:tr w:rsidR="00D04215" w:rsidRPr="00BC6DDC" w:rsidTr="00D77AB5">
        <w:trPr>
          <w:trHeight w:val="1265"/>
        </w:trPr>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lastRenderedPageBreak/>
              <w:t>Порядок определения стоимости материальных запасов при выбытии</w:t>
            </w:r>
          </w:p>
        </w:tc>
        <w:tc>
          <w:tcPr>
            <w:tcW w:w="4946" w:type="dxa"/>
            <w:vAlign w:val="center"/>
          </w:tcPr>
          <w:p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Списание материальных запасов производить по средней фактической стоимости. Списание мягкого инвентаря и посуды производить по факти</w:t>
            </w:r>
            <w:r>
              <w:rPr>
                <w:rFonts w:eastAsia="Times New Roman" w:cstheme="minorHAnsi"/>
                <w:color w:val="000000"/>
                <w:lang w:eastAsia="ru-RU"/>
              </w:rPr>
              <w:t>ческой стоимости каждой единицы</w:t>
            </w:r>
          </w:p>
        </w:tc>
      </w:tr>
      <w:tr w:rsidR="00D04215" w:rsidRPr="00BC6DDC" w:rsidTr="00D77AB5">
        <w:trPr>
          <w:trHeight w:val="883"/>
        </w:trPr>
        <w:tc>
          <w:tcPr>
            <w:tcW w:w="4399" w:type="dxa"/>
            <w:vAlign w:val="center"/>
          </w:tcPr>
          <w:p w:rsidR="00D04215" w:rsidRPr="00BC6DDC" w:rsidRDefault="00D04215" w:rsidP="009C3ED8">
            <w:pPr>
              <w:rPr>
                <w:rFonts w:eastAsia="Times New Roman" w:cstheme="minorHAnsi"/>
                <w:color w:val="000000"/>
                <w:lang w:eastAsia="ru-RU"/>
              </w:rPr>
            </w:pPr>
            <w:r w:rsidRPr="00AD2060">
              <w:rPr>
                <w:rFonts w:eastAsia="Times New Roman" w:cstheme="minorHAnsi"/>
                <w:color w:val="000000"/>
                <w:lang w:eastAsia="ru-RU"/>
              </w:rPr>
              <w:t xml:space="preserve">Метод распределения </w:t>
            </w:r>
            <w:r w:rsidR="009C3ED8">
              <w:rPr>
                <w:rFonts w:eastAsia="Times New Roman" w:cstheme="minorHAnsi"/>
                <w:color w:val="000000"/>
                <w:lang w:eastAsia="ru-RU"/>
              </w:rPr>
              <w:t>общехозяйственных</w:t>
            </w:r>
            <w:r w:rsidRPr="00AD2060">
              <w:rPr>
                <w:rFonts w:eastAsia="Times New Roman" w:cstheme="minorHAnsi"/>
                <w:color w:val="000000"/>
                <w:lang w:eastAsia="ru-RU"/>
              </w:rPr>
              <w:t xml:space="preserve"> расходов</w:t>
            </w:r>
          </w:p>
        </w:tc>
        <w:tc>
          <w:tcPr>
            <w:tcW w:w="4946"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Пропорционально прямым затратам по оплате труда</w:t>
            </w:r>
          </w:p>
        </w:tc>
      </w:tr>
      <w:tr w:rsidR="00D04215" w:rsidRPr="00BC6DDC" w:rsidTr="00D77AB5">
        <w:trPr>
          <w:trHeight w:val="709"/>
        </w:trPr>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 xml:space="preserve">Метод </w:t>
            </w:r>
            <w:proofErr w:type="spellStart"/>
            <w:r w:rsidRPr="00AD2060">
              <w:rPr>
                <w:rFonts w:eastAsia="Times New Roman" w:cstheme="minorHAnsi"/>
                <w:color w:val="000000"/>
                <w:lang w:eastAsia="ru-RU"/>
              </w:rPr>
              <w:t>калькулирования</w:t>
            </w:r>
            <w:proofErr w:type="spellEnd"/>
            <w:r w:rsidRPr="00AD2060">
              <w:rPr>
                <w:rFonts w:eastAsia="Times New Roman" w:cstheme="minorHAnsi"/>
                <w:color w:val="000000"/>
                <w:lang w:eastAsia="ru-RU"/>
              </w:rPr>
              <w:t xml:space="preserve"> себестоимости</w:t>
            </w:r>
          </w:p>
        </w:tc>
        <w:tc>
          <w:tcPr>
            <w:tcW w:w="4946" w:type="dxa"/>
            <w:vAlign w:val="center"/>
          </w:tcPr>
          <w:p w:rsidR="00D04215" w:rsidRPr="00BC6DDC" w:rsidRDefault="00D04215" w:rsidP="009C3ED8">
            <w:pPr>
              <w:rPr>
                <w:rFonts w:eastAsia="Times New Roman" w:cstheme="minorHAnsi"/>
                <w:color w:val="000000"/>
                <w:lang w:eastAsia="ru-RU"/>
              </w:rPr>
            </w:pPr>
            <w:r w:rsidRPr="00AD2060">
              <w:rPr>
                <w:rFonts w:eastAsia="Times New Roman" w:cstheme="minorHAnsi"/>
                <w:color w:val="000000"/>
                <w:lang w:eastAsia="ru-RU"/>
              </w:rPr>
              <w:t>Учет готовой продукции по фактической себестоимости</w:t>
            </w:r>
          </w:p>
        </w:tc>
      </w:tr>
      <w:tr w:rsidR="00D04215" w:rsidRPr="00BC6DDC" w:rsidTr="0025046E">
        <w:trPr>
          <w:trHeight w:val="9584"/>
        </w:trPr>
        <w:tc>
          <w:tcPr>
            <w:tcW w:w="4399" w:type="dxa"/>
            <w:vAlign w:val="center"/>
          </w:tcPr>
          <w:p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отнесения расходов будущих периодов на текущий финансовый результат</w:t>
            </w:r>
          </w:p>
        </w:tc>
        <w:tc>
          <w:tcPr>
            <w:tcW w:w="4946" w:type="dxa"/>
            <w:vAlign w:val="center"/>
          </w:tcPr>
          <w:p w:rsidR="00402BAE" w:rsidRPr="00402BAE" w:rsidRDefault="00402BAE" w:rsidP="00402BAE">
            <w:pPr>
              <w:rPr>
                <w:rFonts w:eastAsia="Times New Roman" w:cstheme="minorHAnsi"/>
                <w:color w:val="000000"/>
                <w:lang w:eastAsia="ru-RU"/>
              </w:rPr>
            </w:pPr>
            <w:r w:rsidRPr="00402BAE">
              <w:rPr>
                <w:rFonts w:eastAsia="Times New Roman" w:cstheme="minorHAnsi"/>
                <w:color w:val="000000"/>
                <w:lang w:eastAsia="ru-RU"/>
              </w:rPr>
              <w:t>Суммы расходов, начисленные Учреждением в отчетном периоде, но относящиеся к следующим отчетным периодам, отражать на счете 0 401 50 000 «Расходы будущих периодов».  На этом счете, в случае, когда Университет не создает соответствующий резерв предстоящих расходов, отражать следующие расходы:</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страхование имущества, гражданской ответственности;</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связанные с использованием фискальных накопителей;</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связанные с упущенной выгодой по договорам аренды в течение нескольких отчетных периодов, в том числе по договорам безвозмездного права пользования активом;</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расходы на осуществление капитального ремонта (по уплате собственником помещений в многоквартирном доме взносов в фонд капитального ремонта, формируемые в соответствии с положениями Жилищного кодекса);</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 xml:space="preserve">иные расходы, произведенные Университетом в отчетном периоде, но относящиеся к будущим периодам. </w:t>
            </w:r>
          </w:p>
          <w:p w:rsidR="00D04215" w:rsidRPr="00F67DAC" w:rsidRDefault="00FF5E09" w:rsidP="00F67DAC">
            <w:pPr>
              <w:pStyle w:val="a5"/>
              <w:ind w:left="22"/>
              <w:rPr>
                <w:rFonts w:eastAsia="Times New Roman" w:cstheme="minorHAnsi"/>
                <w:color w:val="000000"/>
                <w:lang w:eastAsia="ru-RU"/>
              </w:rPr>
            </w:pPr>
            <w:r w:rsidRPr="00FF5E09">
              <w:rPr>
                <w:rFonts w:eastAsia="Times New Roman" w:cstheme="minorHAnsi"/>
                <w:color w:val="000000"/>
                <w:lang w:eastAsia="ru-RU"/>
              </w:rPr>
              <w:t xml:space="preserve">Расходы будущих периодов относить на финансовый результат текущего финансового года равномерно, в течение периода, к которому они относятся, за исключением расходов на осуществление капитального ремонта.  Списание сумм взносов на осуществление капитального ремонта относить на финансовый результат текущего финансового года в случае проведения за счет средств соответствующего фонда работ по капитальному ремонту общего имущества в многоквартирном доме. </w:t>
            </w:r>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передачи документов бухгалтерского учета при смене ру</w:t>
            </w:r>
            <w:r w:rsidRPr="00BC6DDC">
              <w:rPr>
                <w:rFonts w:eastAsia="Times New Roman" w:cstheme="minorHAnsi"/>
                <w:color w:val="000000"/>
                <w:lang w:eastAsia="ru-RU"/>
              </w:rPr>
              <w:t>к</w:t>
            </w:r>
            <w:r w:rsidRPr="00AD2060">
              <w:rPr>
                <w:rFonts w:eastAsia="Times New Roman" w:cstheme="minorHAnsi"/>
                <w:color w:val="000000"/>
                <w:lang w:eastAsia="ru-RU"/>
              </w:rPr>
              <w:t>оводителя субъекта учета и (или) главного бухгалтера либо иного должностного лица, на которого возложено ведение бухгалтерского учета</w:t>
            </w:r>
          </w:p>
        </w:tc>
        <w:tc>
          <w:tcPr>
            <w:tcW w:w="4946" w:type="dxa"/>
            <w:vAlign w:val="center"/>
          </w:tcPr>
          <w:p w:rsidR="00D04215" w:rsidRPr="00BC6DDC" w:rsidRDefault="004D425C" w:rsidP="00DE2F96">
            <w:pPr>
              <w:rPr>
                <w:rFonts w:eastAsia="Times New Roman" w:cstheme="minorHAnsi"/>
                <w:color w:val="000000"/>
                <w:lang w:eastAsia="ru-RU"/>
              </w:rPr>
            </w:pPr>
            <w:hyperlink r:id="rId10" w:history="1">
              <w:r w:rsidR="00E83E15" w:rsidRPr="004D425C">
                <w:rPr>
                  <w:rStyle w:val="a3"/>
                  <w:rFonts w:eastAsia="Times New Roman" w:cstheme="minorHAnsi"/>
                  <w:lang w:eastAsia="ru-RU"/>
                </w:rPr>
                <w:t>Приложение №</w:t>
              </w:r>
              <w:r w:rsidR="00DE2F96" w:rsidRPr="004D425C">
                <w:rPr>
                  <w:rStyle w:val="a3"/>
                  <w:rFonts w:eastAsia="Times New Roman" w:cstheme="minorHAnsi"/>
                  <w:lang w:eastAsia="ru-RU"/>
                </w:rPr>
                <w:t>6</w:t>
              </w:r>
              <w:r w:rsidR="00D04215" w:rsidRPr="004D425C">
                <w:rPr>
                  <w:rStyle w:val="a3"/>
                  <w:rFonts w:eastAsia="Times New Roman" w:cstheme="minorHAnsi"/>
                  <w:lang w:eastAsia="ru-RU"/>
                </w:rPr>
                <w:t xml:space="preserve"> Учетной политики</w:t>
              </w:r>
            </w:hyperlink>
          </w:p>
        </w:tc>
      </w:tr>
      <w:tr w:rsidR="00D04215" w:rsidRPr="00BC6DDC" w:rsidTr="003402E8">
        <w:tc>
          <w:tcPr>
            <w:tcW w:w="4399" w:type="dxa"/>
            <w:vAlign w:val="center"/>
          </w:tcPr>
          <w:p w:rsidR="00D04215" w:rsidRPr="00BC6DDC" w:rsidRDefault="00D04215" w:rsidP="003402E8">
            <w:pPr>
              <w:tabs>
                <w:tab w:val="left" w:pos="1574"/>
              </w:tabs>
              <w:rPr>
                <w:rFonts w:eastAsia="Times New Roman" w:cstheme="minorHAnsi"/>
                <w:color w:val="000000"/>
                <w:lang w:eastAsia="ru-RU"/>
              </w:rPr>
            </w:pPr>
            <w:r w:rsidRPr="00AD2060">
              <w:rPr>
                <w:rFonts w:eastAsia="Times New Roman" w:cstheme="minorHAnsi"/>
                <w:color w:val="000000"/>
                <w:lang w:eastAsia="ru-RU"/>
              </w:rPr>
              <w:lastRenderedPageBreak/>
              <w:t>Порядок учета обязательств, отраженных на счетах санкционирования и перечень документов, подтверждающих принятие (возникновение) обязательств</w:t>
            </w:r>
          </w:p>
        </w:tc>
        <w:tc>
          <w:tcPr>
            <w:tcW w:w="4946" w:type="dxa"/>
            <w:vAlign w:val="center"/>
          </w:tcPr>
          <w:p w:rsidR="00D04215" w:rsidRPr="00AD2060" w:rsidRDefault="00F77B7F" w:rsidP="003402E8">
            <w:pPr>
              <w:rPr>
                <w:rFonts w:eastAsia="Times New Roman" w:cstheme="minorHAnsi"/>
                <w:color w:val="000000"/>
                <w:lang w:eastAsia="ru-RU"/>
              </w:rPr>
            </w:pPr>
            <w:hyperlink r:id="rId11" w:history="1">
              <w:r w:rsidR="00E83E15" w:rsidRPr="00F77B7F">
                <w:rPr>
                  <w:rStyle w:val="a3"/>
                  <w:rFonts w:eastAsia="Times New Roman" w:cstheme="minorHAnsi"/>
                  <w:lang w:eastAsia="ru-RU"/>
                </w:rPr>
                <w:t>Приложение №</w:t>
              </w:r>
              <w:r w:rsidR="00D04215" w:rsidRPr="00F77B7F">
                <w:rPr>
                  <w:rStyle w:val="a3"/>
                  <w:rFonts w:eastAsia="Times New Roman" w:cstheme="minorHAnsi"/>
                  <w:lang w:eastAsia="ru-RU"/>
                </w:rPr>
                <w:t>7 Учетной политики</w:t>
              </w:r>
            </w:hyperlink>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Перечень бланков, относимых к бланкам строгой отчетности</w:t>
            </w:r>
          </w:p>
        </w:tc>
        <w:tc>
          <w:tcPr>
            <w:tcW w:w="4946" w:type="dxa"/>
            <w:vAlign w:val="center"/>
          </w:tcPr>
          <w:p w:rsidR="00402BAE" w:rsidRPr="00402BAE" w:rsidRDefault="00402BAE" w:rsidP="00402BAE">
            <w:pPr>
              <w:rPr>
                <w:rFonts w:eastAsia="Times New Roman" w:cstheme="minorHAnsi"/>
                <w:color w:val="000000"/>
                <w:lang w:eastAsia="ru-RU"/>
              </w:rPr>
            </w:pPr>
            <w:r w:rsidRPr="00402BAE">
              <w:rPr>
                <w:rFonts w:eastAsia="Times New Roman" w:cstheme="minorHAnsi"/>
                <w:color w:val="000000"/>
                <w:lang w:eastAsia="ru-RU"/>
              </w:rPr>
              <w:t>К бланкам строгой отчетности в Университете относятся следующие документы:</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документы об образовании и квалификации;</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 xml:space="preserve">трудовые книжки и вкладыши к ним; </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путевки;</w:t>
            </w:r>
          </w:p>
          <w:p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входные билеты в музей;</w:t>
            </w:r>
          </w:p>
          <w:p w:rsidR="00D04215"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другие бланки государственного и установленного образца в соответствии с перечнями, утвержденными федеральными органами исполн</w:t>
            </w:r>
            <w:r>
              <w:rPr>
                <w:rFonts w:eastAsia="Times New Roman" w:cstheme="minorHAnsi"/>
                <w:color w:val="000000"/>
                <w:lang w:eastAsia="ru-RU"/>
              </w:rPr>
              <w:t>ительной власти</w:t>
            </w:r>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Учет на забалансовом счете 09 "Запасные части к транспортным средствам, выданные взамен изношенных"</w:t>
            </w:r>
          </w:p>
        </w:tc>
        <w:tc>
          <w:tcPr>
            <w:tcW w:w="4946" w:type="dxa"/>
            <w:vAlign w:val="center"/>
          </w:tcPr>
          <w:p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Материальные ценности (автошины/шины, покрышки, диски и аккумуляторы) отражать на забалансовом счете 09 «Запасные части к транспортным средствам, выданные взамен изношенных» в момент их выбытия с балансового учета в целях ремонта транспортных средств и учитывать в течение периода их эксплуатации (использовании) в</w:t>
            </w:r>
            <w:r>
              <w:rPr>
                <w:rFonts w:eastAsia="Times New Roman" w:cstheme="minorHAnsi"/>
                <w:color w:val="000000"/>
                <w:lang w:eastAsia="ru-RU"/>
              </w:rPr>
              <w:t xml:space="preserve"> составе транспортного средства</w:t>
            </w:r>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списания задолженности учреждения, невостребованной кредиторами, с забалансового учета</w:t>
            </w:r>
          </w:p>
        </w:tc>
        <w:tc>
          <w:tcPr>
            <w:tcW w:w="4946" w:type="dxa"/>
            <w:vAlign w:val="center"/>
          </w:tcPr>
          <w:p w:rsidR="00D04215" w:rsidRPr="00BC6DDC" w:rsidRDefault="00F77B7F" w:rsidP="00DE2F96">
            <w:pPr>
              <w:rPr>
                <w:rFonts w:eastAsia="Times New Roman" w:cstheme="minorHAnsi"/>
                <w:color w:val="000000"/>
                <w:lang w:eastAsia="ru-RU"/>
              </w:rPr>
            </w:pPr>
            <w:hyperlink r:id="rId12" w:history="1">
              <w:r w:rsidR="00E83E15" w:rsidRPr="00F77B7F">
                <w:rPr>
                  <w:rStyle w:val="a3"/>
                  <w:rFonts w:eastAsia="Times New Roman" w:cstheme="minorHAnsi"/>
                  <w:lang w:eastAsia="ru-RU"/>
                </w:rPr>
                <w:t>Приложение №</w:t>
              </w:r>
              <w:r w:rsidR="006B2480" w:rsidRPr="00F77B7F">
                <w:rPr>
                  <w:rStyle w:val="a3"/>
                  <w:rFonts w:eastAsia="Times New Roman" w:cstheme="minorHAnsi"/>
                  <w:lang w:eastAsia="ru-RU"/>
                </w:rPr>
                <w:t>80</w:t>
              </w:r>
              <w:r w:rsidR="00D04215" w:rsidRPr="00F77B7F">
                <w:rPr>
                  <w:rStyle w:val="a3"/>
                  <w:rFonts w:eastAsia="Times New Roman" w:cstheme="minorHAnsi"/>
                  <w:lang w:eastAsia="ru-RU"/>
                </w:rPr>
                <w:t xml:space="preserve"> Учетной политики</w:t>
              </w:r>
            </w:hyperlink>
          </w:p>
        </w:tc>
      </w:tr>
      <w:tr w:rsidR="00D04215" w:rsidRPr="00BC6DDC" w:rsidTr="003402E8">
        <w:tc>
          <w:tcPr>
            <w:tcW w:w="4399" w:type="dxa"/>
            <w:vAlign w:val="center"/>
          </w:tcPr>
          <w:p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учета объектов основных средств на забалансовом счете 21 "Основные средства в эксплуатации</w:t>
            </w:r>
            <w:r w:rsidR="000B625B">
              <w:rPr>
                <w:rFonts w:eastAsia="Times New Roman" w:cstheme="minorHAnsi"/>
                <w:color w:val="000000"/>
                <w:lang w:eastAsia="ru-RU"/>
              </w:rPr>
              <w:t>»</w:t>
            </w:r>
          </w:p>
        </w:tc>
        <w:tc>
          <w:tcPr>
            <w:tcW w:w="4946" w:type="dxa"/>
            <w:vAlign w:val="center"/>
          </w:tcPr>
          <w:p w:rsidR="006B2480" w:rsidRPr="006B2480" w:rsidRDefault="006B2480" w:rsidP="006B2480">
            <w:pPr>
              <w:rPr>
                <w:rFonts w:eastAsia="Times New Roman" w:cstheme="minorHAnsi"/>
                <w:color w:val="000000"/>
                <w:lang w:eastAsia="ru-RU"/>
              </w:rPr>
            </w:pPr>
            <w:r w:rsidRPr="006B2480">
              <w:rPr>
                <w:rFonts w:eastAsia="Times New Roman" w:cstheme="minorHAnsi"/>
                <w:color w:val="000000"/>
                <w:lang w:eastAsia="ru-RU"/>
              </w:rPr>
              <w:t>Организовать учет, выданных в эксплуатацию объектов основных средств стоимостью до 10 000 рублей, на забалансовом счете 21 «Основные средства в эксплуатации»:</w:t>
            </w:r>
          </w:p>
          <w:p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наименованиям;</w:t>
            </w:r>
          </w:p>
          <w:p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ответственным лицам;</w:t>
            </w:r>
          </w:p>
          <w:p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единице учета;</w:t>
            </w:r>
          </w:p>
          <w:p w:rsidR="00D04215"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в условной оценке один объект – один рубль, вве</w:t>
            </w:r>
            <w:r>
              <w:rPr>
                <w:rFonts w:eastAsia="Times New Roman" w:cstheme="minorHAnsi"/>
                <w:color w:val="000000"/>
                <w:lang w:eastAsia="ru-RU"/>
              </w:rPr>
              <w:t>денного в эксплуатацию объекта</w:t>
            </w:r>
          </w:p>
        </w:tc>
      </w:tr>
      <w:tr w:rsidR="00950558" w:rsidRPr="00BC6DDC" w:rsidTr="003402E8">
        <w:tc>
          <w:tcPr>
            <w:tcW w:w="4399" w:type="dxa"/>
            <w:vAlign w:val="center"/>
          </w:tcPr>
          <w:p w:rsidR="00950558" w:rsidRPr="00AD2060" w:rsidRDefault="00950558" w:rsidP="003402E8">
            <w:pPr>
              <w:rPr>
                <w:rFonts w:eastAsia="Times New Roman" w:cstheme="minorHAnsi"/>
                <w:color w:val="000000"/>
                <w:lang w:eastAsia="ru-RU"/>
              </w:rPr>
            </w:pPr>
            <w:r>
              <w:rPr>
                <w:rFonts w:eastAsia="Times New Roman" w:cstheme="minorHAnsi"/>
                <w:color w:val="000000"/>
                <w:lang w:eastAsia="ru-RU"/>
              </w:rPr>
              <w:t>П</w:t>
            </w:r>
            <w:r w:rsidRPr="00950558">
              <w:rPr>
                <w:rFonts w:eastAsia="Times New Roman" w:cstheme="minorHAnsi"/>
                <w:color w:val="000000"/>
                <w:lang w:eastAsia="ru-RU"/>
              </w:rPr>
              <w:t>орядок признания в бухгалтерском учете и раскрытия в бухгалтерской (финансовой) отчетности событий после отчетной даты</w:t>
            </w:r>
          </w:p>
        </w:tc>
        <w:tc>
          <w:tcPr>
            <w:tcW w:w="4946" w:type="dxa"/>
            <w:vAlign w:val="center"/>
          </w:tcPr>
          <w:p w:rsidR="00950558" w:rsidRPr="006B2480" w:rsidRDefault="00950558" w:rsidP="006B2480">
            <w:pPr>
              <w:rPr>
                <w:rFonts w:eastAsia="Times New Roman" w:cstheme="minorHAnsi"/>
                <w:color w:val="000000"/>
                <w:lang w:eastAsia="ru-RU"/>
              </w:rPr>
            </w:pPr>
            <w:r w:rsidRPr="00950558">
              <w:rPr>
                <w:rFonts w:eastAsia="Times New Roman" w:cstheme="minorHAnsi"/>
                <w:color w:val="000000"/>
                <w:lang w:eastAsia="ru-RU"/>
              </w:rPr>
              <w:t>Установить срок (предельную дату) для отражения в бухгалтерской (финансовой) отчетности первичных документов по событиям после отчетной даты, представленных за отчетный период – не позднее 01 февраля года, следующего за отчетным годом, а также не позднее 10 числа месяца сл</w:t>
            </w:r>
            <w:r>
              <w:rPr>
                <w:rFonts w:eastAsia="Times New Roman" w:cstheme="minorHAnsi"/>
                <w:color w:val="000000"/>
                <w:lang w:eastAsia="ru-RU"/>
              </w:rPr>
              <w:t>едующего за окончанием квартала</w:t>
            </w:r>
          </w:p>
        </w:tc>
      </w:tr>
    </w:tbl>
    <w:p w:rsidR="00D04215" w:rsidRDefault="00D04215"/>
    <w:sectPr w:rsidR="00D04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968"/>
    <w:multiLevelType w:val="hybridMultilevel"/>
    <w:tmpl w:val="66344DF6"/>
    <w:lvl w:ilvl="0" w:tplc="F6247F92">
      <w:start w:val="1"/>
      <w:numFmt w:val="decimal"/>
      <w:suff w:val="space"/>
      <w:lvlText w:val="%1)"/>
      <w:lvlJc w:val="left"/>
      <w:pPr>
        <w:ind w:left="720" w:hanging="360"/>
      </w:pPr>
      <w:rPr>
        <w:rFonts w:hint="default"/>
      </w:rPr>
    </w:lvl>
    <w:lvl w:ilvl="1" w:tplc="E6A01A62">
      <w:start w:val="1"/>
      <w:numFmt w:val="lowerLetter"/>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A67D2"/>
    <w:multiLevelType w:val="hybridMultilevel"/>
    <w:tmpl w:val="1E58A106"/>
    <w:lvl w:ilvl="0" w:tplc="1E5634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FA4FD6"/>
    <w:multiLevelType w:val="hybridMultilevel"/>
    <w:tmpl w:val="1312E500"/>
    <w:lvl w:ilvl="0" w:tplc="333847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071E40"/>
    <w:multiLevelType w:val="hybridMultilevel"/>
    <w:tmpl w:val="BE0A05E0"/>
    <w:lvl w:ilvl="0" w:tplc="C8C8343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D07C5E"/>
    <w:multiLevelType w:val="hybridMultilevel"/>
    <w:tmpl w:val="52CE385C"/>
    <w:lvl w:ilvl="0" w:tplc="2C562D5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CF7FC8"/>
    <w:multiLevelType w:val="hybridMultilevel"/>
    <w:tmpl w:val="D606354C"/>
    <w:lvl w:ilvl="0" w:tplc="27BE125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2"/>
    <w:rsid w:val="000A0775"/>
    <w:rsid w:val="000B625B"/>
    <w:rsid w:val="000F4E02"/>
    <w:rsid w:val="00192D94"/>
    <w:rsid w:val="001D7164"/>
    <w:rsid w:val="002046D2"/>
    <w:rsid w:val="0025046E"/>
    <w:rsid w:val="00285C80"/>
    <w:rsid w:val="00300CCA"/>
    <w:rsid w:val="00402BAE"/>
    <w:rsid w:val="004D425C"/>
    <w:rsid w:val="006B2480"/>
    <w:rsid w:val="0075124C"/>
    <w:rsid w:val="008C2BC7"/>
    <w:rsid w:val="00950558"/>
    <w:rsid w:val="00994E32"/>
    <w:rsid w:val="009C3ED8"/>
    <w:rsid w:val="009E0327"/>
    <w:rsid w:val="00AF3EF0"/>
    <w:rsid w:val="00B1739E"/>
    <w:rsid w:val="00D04215"/>
    <w:rsid w:val="00D53195"/>
    <w:rsid w:val="00D77AB5"/>
    <w:rsid w:val="00DE2F96"/>
    <w:rsid w:val="00E83E15"/>
    <w:rsid w:val="00F67DAC"/>
    <w:rsid w:val="00F77B7F"/>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9D4D9-2EBF-40C3-8051-AF64E00E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215"/>
    <w:rPr>
      <w:color w:val="0563C1" w:themeColor="hyperlink"/>
      <w:u w:val="single"/>
    </w:rPr>
  </w:style>
  <w:style w:type="table" w:styleId="a4">
    <w:name w:val="Table Grid"/>
    <w:basedOn w:val="a1"/>
    <w:uiPriority w:val="39"/>
    <w:rsid w:val="00D0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4215"/>
    <w:pPr>
      <w:ind w:left="720"/>
      <w:contextualSpacing/>
    </w:pPr>
  </w:style>
  <w:style w:type="paragraph" w:styleId="a6">
    <w:name w:val="Balloon Text"/>
    <w:basedOn w:val="a"/>
    <w:link w:val="a7"/>
    <w:uiPriority w:val="99"/>
    <w:semiHidden/>
    <w:unhideWhenUsed/>
    <w:rsid w:val="00994E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4E32"/>
    <w:rPr>
      <w:rFonts w:ascii="Segoe UI" w:hAnsi="Segoe UI" w:cs="Segoe UI"/>
      <w:sz w:val="18"/>
      <w:szCs w:val="18"/>
    </w:rPr>
  </w:style>
  <w:style w:type="character" w:customStyle="1" w:styleId="UnresolvedMention">
    <w:name w:val="Unresolved Mention"/>
    <w:basedOn w:val="a0"/>
    <w:uiPriority w:val="99"/>
    <w:semiHidden/>
    <w:unhideWhenUsed/>
    <w:rsid w:val="0075124C"/>
    <w:rPr>
      <w:color w:val="605E5C"/>
      <w:shd w:val="clear" w:color="auto" w:fill="E1DFDD"/>
    </w:rPr>
  </w:style>
  <w:style w:type="character" w:styleId="a8">
    <w:name w:val="FollowedHyperlink"/>
    <w:basedOn w:val="a0"/>
    <w:uiPriority w:val="99"/>
    <w:semiHidden/>
    <w:unhideWhenUsed/>
    <w:rsid w:val="00DE2F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bstu.ru/upload/administration-catalogue/cp-ao/Prilozheniye_14_Uchetnoy_politiki.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bstu.ru/upload/administration-catalogue/cp-ao/prilozheniye_5_uchetnoy_politiki.pdf" TargetMode="External"/><Relationship Id="rId12" Type="http://schemas.openxmlformats.org/officeDocument/2006/relationships/hyperlink" Target="https://www.spbstu.ru/upload/administration-catalogue/cp-ao/prilozheniye_80_uchetnoy_politik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bstu.ru/upload/administration-catalogue/cp-ao/prilozheniye_4_uchetnoy_politiki.pdf" TargetMode="External"/><Relationship Id="rId11" Type="http://schemas.openxmlformats.org/officeDocument/2006/relationships/hyperlink" Target="https://www.spbstu.ru/upload/administration-catalogue/cp-ao/prilozheniye_7_uchetnoy_politiki.pdf" TargetMode="External"/><Relationship Id="rId5" Type="http://schemas.openxmlformats.org/officeDocument/2006/relationships/hyperlink" Target="https://www.spbstu.ru/upload/administration-catalogue/cp-ao/prilozheniye_1_uchetnoy_politiki.pdf" TargetMode="External"/><Relationship Id="rId10" Type="http://schemas.openxmlformats.org/officeDocument/2006/relationships/hyperlink" Target="https://www.spbstu.ru/upload/administration-catalogue/cp-ao/Prilozheniye_6_Uchetnoy_politiki.pdf" TargetMode="External"/><Relationship Id="rId4" Type="http://schemas.openxmlformats.org/officeDocument/2006/relationships/webSettings" Target="webSettings.xml"/><Relationship Id="rId9" Type="http://schemas.openxmlformats.org/officeDocument/2006/relationships/hyperlink" Target="https://www.spbstu.ru/upload/administration-catalogue/cp-ao/prilozheniye_20_uchetnoy_politiki.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4</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Кокина Юлия Михайловна</dc:creator>
  <cp:keywords/>
  <dc:description/>
  <cp:lastModifiedBy>Gandjubasiya</cp:lastModifiedBy>
  <cp:revision>12</cp:revision>
  <cp:lastPrinted>2022-03-14T09:21:00Z</cp:lastPrinted>
  <dcterms:created xsi:type="dcterms:W3CDTF">2019-07-31T11:18:00Z</dcterms:created>
  <dcterms:modified xsi:type="dcterms:W3CDTF">2022-03-14T13:49:00Z</dcterms:modified>
</cp:coreProperties>
</file>