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F7" w:rsidRDefault="00974250" w:rsidP="00434E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250">
        <w:rPr>
          <w:rFonts w:ascii="Times New Roman" w:hAnsi="Times New Roman" w:cs="Times New Roman"/>
          <w:b/>
          <w:sz w:val="36"/>
          <w:szCs w:val="36"/>
        </w:rPr>
        <w:t xml:space="preserve">Памятка </w:t>
      </w:r>
      <w:r w:rsidR="004351F7">
        <w:rPr>
          <w:rFonts w:ascii="Times New Roman" w:hAnsi="Times New Roman" w:cs="Times New Roman"/>
          <w:b/>
          <w:sz w:val="36"/>
          <w:szCs w:val="36"/>
        </w:rPr>
        <w:t xml:space="preserve">ответственному лицу </w:t>
      </w:r>
    </w:p>
    <w:p w:rsidR="00434E97" w:rsidRDefault="004351F7" w:rsidP="00434E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оформлению передачи материальных ценностей</w:t>
      </w:r>
    </w:p>
    <w:p w:rsidR="00974250" w:rsidRDefault="00434E97" w:rsidP="00434E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 смене</w:t>
      </w:r>
      <w:r w:rsidR="004351F7">
        <w:rPr>
          <w:rFonts w:ascii="Times New Roman" w:hAnsi="Times New Roman" w:cs="Times New Roman"/>
          <w:b/>
          <w:sz w:val="36"/>
          <w:szCs w:val="36"/>
        </w:rPr>
        <w:t>/увольнении</w:t>
      </w:r>
      <w:r>
        <w:rPr>
          <w:rFonts w:ascii="Times New Roman" w:hAnsi="Times New Roman" w:cs="Times New Roman"/>
          <w:b/>
          <w:sz w:val="36"/>
          <w:szCs w:val="36"/>
        </w:rPr>
        <w:t xml:space="preserve"> материально ответственного лица</w:t>
      </w:r>
    </w:p>
    <w:p w:rsidR="00974250" w:rsidRDefault="00974250" w:rsidP="009742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75D" w:rsidRDefault="00434E97" w:rsidP="00C73D03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75D">
        <w:rPr>
          <w:rFonts w:ascii="Times New Roman" w:hAnsi="Times New Roman" w:cs="Times New Roman"/>
          <w:sz w:val="28"/>
          <w:szCs w:val="28"/>
        </w:rPr>
        <w:t>При увольнении или смене материально ответственного лица</w:t>
      </w:r>
      <w:r w:rsidR="00D8375D" w:rsidRPr="00D8375D">
        <w:rPr>
          <w:rFonts w:ascii="Times New Roman" w:hAnsi="Times New Roman" w:cs="Times New Roman"/>
          <w:sz w:val="28"/>
          <w:szCs w:val="28"/>
        </w:rPr>
        <w:t xml:space="preserve"> требуется </w:t>
      </w:r>
      <w:r w:rsidR="004351F7">
        <w:rPr>
          <w:rFonts w:ascii="Times New Roman" w:hAnsi="Times New Roman" w:cs="Times New Roman"/>
          <w:sz w:val="28"/>
          <w:szCs w:val="28"/>
        </w:rPr>
        <w:t>про</w:t>
      </w:r>
      <w:r w:rsidRPr="00D8375D">
        <w:rPr>
          <w:rFonts w:ascii="Times New Roman" w:hAnsi="Times New Roman" w:cs="Times New Roman"/>
          <w:sz w:val="28"/>
          <w:szCs w:val="28"/>
        </w:rPr>
        <w:t>вести инвентаризацию имущества, закреп</w:t>
      </w:r>
      <w:r w:rsidR="00D8375D" w:rsidRPr="00D8375D">
        <w:rPr>
          <w:rFonts w:ascii="Times New Roman" w:hAnsi="Times New Roman" w:cs="Times New Roman"/>
          <w:sz w:val="28"/>
          <w:szCs w:val="28"/>
        </w:rPr>
        <w:t xml:space="preserve">ленного за ответственным лицом </w:t>
      </w:r>
      <w:r w:rsidRPr="00D8375D">
        <w:rPr>
          <w:rFonts w:ascii="Times New Roman" w:hAnsi="Times New Roman" w:cs="Times New Roman"/>
          <w:sz w:val="28"/>
          <w:szCs w:val="28"/>
        </w:rPr>
        <w:t>и передать имущество вновь н</w:t>
      </w:r>
      <w:r w:rsidR="004351F7">
        <w:rPr>
          <w:rFonts w:ascii="Times New Roman" w:hAnsi="Times New Roman" w:cs="Times New Roman"/>
          <w:sz w:val="28"/>
          <w:szCs w:val="28"/>
        </w:rPr>
        <w:t xml:space="preserve">азначенному ответственному лицу, в случае отсутствия такого – руководителю структурного подразделения. </w:t>
      </w:r>
      <w:r w:rsidR="00D8375D" w:rsidRPr="00D83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75D" w:rsidRDefault="00D8375D" w:rsidP="00C73D03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75D">
        <w:rPr>
          <w:rFonts w:ascii="Times New Roman" w:hAnsi="Times New Roman" w:cs="Times New Roman"/>
          <w:sz w:val="28"/>
          <w:szCs w:val="28"/>
        </w:rPr>
        <w:t xml:space="preserve">Увольнение материально ответственного лица без передачи материальных ценностей </w:t>
      </w:r>
      <w:r w:rsidRPr="00CF0699">
        <w:rPr>
          <w:rFonts w:ascii="Times New Roman" w:hAnsi="Times New Roman" w:cs="Times New Roman"/>
          <w:sz w:val="28"/>
          <w:szCs w:val="28"/>
          <w:u w:val="single"/>
        </w:rPr>
        <w:t>не допускается</w:t>
      </w:r>
      <w:r w:rsidRPr="00D8375D">
        <w:rPr>
          <w:rFonts w:ascii="Times New Roman" w:hAnsi="Times New Roman" w:cs="Times New Roman"/>
          <w:sz w:val="28"/>
          <w:szCs w:val="28"/>
        </w:rPr>
        <w:t>.</w:t>
      </w:r>
    </w:p>
    <w:p w:rsidR="00434E97" w:rsidRDefault="00403D92" w:rsidP="00C73D03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</w:t>
      </w:r>
      <w:r w:rsidR="00C63B21">
        <w:rPr>
          <w:rFonts w:ascii="Times New Roman" w:hAnsi="Times New Roman" w:cs="Times New Roman"/>
          <w:sz w:val="28"/>
          <w:szCs w:val="28"/>
        </w:rPr>
        <w:t>проведения процедуры передачи материальн</w:t>
      </w:r>
      <w:r w:rsidR="00F14605">
        <w:rPr>
          <w:rFonts w:ascii="Times New Roman" w:hAnsi="Times New Roman" w:cs="Times New Roman"/>
          <w:sz w:val="28"/>
          <w:szCs w:val="28"/>
        </w:rPr>
        <w:t>ых ценностей</w:t>
      </w:r>
      <w:r w:rsidR="00C63B21">
        <w:rPr>
          <w:rFonts w:ascii="Times New Roman" w:hAnsi="Times New Roman" w:cs="Times New Roman"/>
          <w:sz w:val="28"/>
          <w:szCs w:val="28"/>
        </w:rPr>
        <w:t xml:space="preserve"> </w:t>
      </w:r>
      <w:r w:rsidR="001436E1">
        <w:rPr>
          <w:rFonts w:ascii="Times New Roman" w:hAnsi="Times New Roman" w:cs="Times New Roman"/>
          <w:sz w:val="28"/>
          <w:szCs w:val="28"/>
        </w:rPr>
        <w:t xml:space="preserve">на новое ответственное лицо </w:t>
      </w:r>
      <w:r w:rsidR="004351F7">
        <w:rPr>
          <w:rFonts w:ascii="Times New Roman" w:hAnsi="Times New Roman" w:cs="Times New Roman"/>
          <w:sz w:val="28"/>
          <w:szCs w:val="28"/>
          <w:u w:val="single"/>
        </w:rPr>
        <w:t>необходимо</w:t>
      </w:r>
      <w:r w:rsidR="00D8375D" w:rsidRPr="00D8375D">
        <w:rPr>
          <w:rFonts w:ascii="Times New Roman" w:hAnsi="Times New Roman" w:cs="Times New Roman"/>
          <w:sz w:val="28"/>
          <w:szCs w:val="28"/>
        </w:rPr>
        <w:t>:</w:t>
      </w:r>
    </w:p>
    <w:p w:rsidR="00A15C2E" w:rsidRPr="00A15C2E" w:rsidRDefault="00A15C2E" w:rsidP="00C73D03">
      <w:pPr>
        <w:pStyle w:val="a3"/>
        <w:numPr>
          <w:ilvl w:val="1"/>
          <w:numId w:val="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2E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подразделения:</w:t>
      </w:r>
    </w:p>
    <w:p w:rsidR="00D8375D" w:rsidRDefault="004351F7" w:rsidP="00C73D03">
      <w:pPr>
        <w:pStyle w:val="a3"/>
        <w:numPr>
          <w:ilvl w:val="0"/>
          <w:numId w:val="7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63B21">
        <w:rPr>
          <w:rFonts w:ascii="Times New Roman" w:hAnsi="Times New Roman" w:cs="Times New Roman"/>
          <w:sz w:val="28"/>
          <w:szCs w:val="28"/>
        </w:rPr>
        <w:t>здать</w:t>
      </w:r>
      <w:r w:rsidR="00D8375D">
        <w:rPr>
          <w:rFonts w:ascii="Times New Roman" w:hAnsi="Times New Roman" w:cs="Times New Roman"/>
          <w:sz w:val="28"/>
          <w:szCs w:val="28"/>
        </w:rPr>
        <w:t xml:space="preserve"> </w:t>
      </w:r>
      <w:r w:rsidR="00A15C2E">
        <w:rPr>
          <w:rFonts w:ascii="Times New Roman" w:hAnsi="Times New Roman" w:cs="Times New Roman"/>
          <w:sz w:val="28"/>
          <w:szCs w:val="28"/>
        </w:rPr>
        <w:t>п</w:t>
      </w:r>
      <w:r w:rsidR="00D8375D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C63B21">
        <w:rPr>
          <w:rFonts w:ascii="Times New Roman" w:hAnsi="Times New Roman" w:cs="Times New Roman"/>
          <w:sz w:val="28"/>
          <w:szCs w:val="28"/>
        </w:rPr>
        <w:t xml:space="preserve">о </w:t>
      </w:r>
      <w:r w:rsidR="00D8375D" w:rsidRPr="00D8375D">
        <w:rPr>
          <w:rFonts w:ascii="Times New Roman" w:hAnsi="Times New Roman" w:cs="Times New Roman"/>
          <w:sz w:val="28"/>
          <w:szCs w:val="28"/>
        </w:rPr>
        <w:t>назначении</w:t>
      </w:r>
      <w:r w:rsidR="00D8375D">
        <w:rPr>
          <w:rFonts w:ascii="Times New Roman" w:hAnsi="Times New Roman" w:cs="Times New Roman"/>
          <w:sz w:val="28"/>
          <w:szCs w:val="28"/>
        </w:rPr>
        <w:t xml:space="preserve"> </w:t>
      </w:r>
      <w:r w:rsidR="00D8375D" w:rsidRPr="00D8375D">
        <w:rPr>
          <w:rFonts w:ascii="Times New Roman" w:hAnsi="Times New Roman" w:cs="Times New Roman"/>
          <w:sz w:val="28"/>
          <w:szCs w:val="28"/>
        </w:rPr>
        <w:t>материально ответственн</w:t>
      </w:r>
      <w:r w:rsidR="00D8375D">
        <w:rPr>
          <w:rFonts w:ascii="Times New Roman" w:hAnsi="Times New Roman" w:cs="Times New Roman"/>
          <w:sz w:val="28"/>
          <w:szCs w:val="28"/>
        </w:rPr>
        <w:t>ого</w:t>
      </w:r>
      <w:r w:rsidR="00D8375D" w:rsidRPr="00D8375D">
        <w:rPr>
          <w:rFonts w:ascii="Times New Roman" w:hAnsi="Times New Roman" w:cs="Times New Roman"/>
          <w:sz w:val="28"/>
          <w:szCs w:val="28"/>
        </w:rPr>
        <w:t xml:space="preserve"> лиц</w:t>
      </w:r>
      <w:r w:rsidR="00D8375D">
        <w:rPr>
          <w:rFonts w:ascii="Times New Roman" w:hAnsi="Times New Roman" w:cs="Times New Roman"/>
          <w:sz w:val="28"/>
          <w:szCs w:val="28"/>
        </w:rPr>
        <w:t>а</w:t>
      </w:r>
      <w:r w:rsidR="00C63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005EE">
        <w:rPr>
          <w:rFonts w:ascii="Times New Roman" w:hAnsi="Times New Roman" w:cs="Times New Roman"/>
          <w:sz w:val="28"/>
          <w:szCs w:val="28"/>
        </w:rPr>
        <w:t>применением</w:t>
      </w:r>
      <w:r>
        <w:rPr>
          <w:rFonts w:ascii="Times New Roman" w:hAnsi="Times New Roman" w:cs="Times New Roman"/>
          <w:sz w:val="28"/>
          <w:szCs w:val="28"/>
        </w:rPr>
        <w:t xml:space="preserve"> автоматизированной программы СЭД</w:t>
      </w:r>
      <w:r w:rsidR="00C63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63B21">
        <w:rPr>
          <w:rFonts w:ascii="Times New Roman" w:hAnsi="Times New Roman" w:cs="Times New Roman"/>
          <w:sz w:val="28"/>
          <w:szCs w:val="28"/>
        </w:rPr>
        <w:t>Директум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27F0E">
        <w:rPr>
          <w:rFonts w:ascii="Times New Roman" w:hAnsi="Times New Roman" w:cs="Times New Roman"/>
          <w:sz w:val="28"/>
          <w:szCs w:val="28"/>
        </w:rPr>
        <w:t xml:space="preserve"> (</w:t>
      </w:r>
      <w:r w:rsidR="00D005EE">
        <w:rPr>
          <w:rFonts w:ascii="Times New Roman" w:hAnsi="Times New Roman" w:cs="Times New Roman"/>
          <w:sz w:val="28"/>
          <w:szCs w:val="28"/>
        </w:rPr>
        <w:t>шаблон</w:t>
      </w:r>
      <w:r w:rsidR="00D8375D">
        <w:rPr>
          <w:rFonts w:ascii="Times New Roman" w:hAnsi="Times New Roman" w:cs="Times New Roman"/>
          <w:sz w:val="28"/>
          <w:szCs w:val="28"/>
        </w:rPr>
        <w:t xml:space="preserve"> </w:t>
      </w:r>
      <w:r w:rsidR="00C63B21">
        <w:rPr>
          <w:rFonts w:ascii="Times New Roman" w:hAnsi="Times New Roman" w:cs="Times New Roman"/>
          <w:sz w:val="28"/>
          <w:szCs w:val="28"/>
        </w:rPr>
        <w:t xml:space="preserve">приказа размещен </w:t>
      </w:r>
      <w:r w:rsidR="00D8375D">
        <w:rPr>
          <w:rFonts w:ascii="Times New Roman" w:hAnsi="Times New Roman" w:cs="Times New Roman"/>
          <w:sz w:val="28"/>
          <w:szCs w:val="28"/>
        </w:rPr>
        <w:t>на сайте</w:t>
      </w:r>
      <w:r w:rsidR="00827F0E">
        <w:rPr>
          <w:rFonts w:ascii="Times New Roman" w:hAnsi="Times New Roman" w:cs="Times New Roman"/>
          <w:sz w:val="28"/>
          <w:szCs w:val="28"/>
        </w:rPr>
        <w:t xml:space="preserve"> университета в разделе Административный каталог –Управление бухгалтерского учета – Документы отдела учета нефинансовых активов, а также на П</w:t>
      </w:r>
      <w:r w:rsidR="00D8375D">
        <w:rPr>
          <w:rFonts w:ascii="Times New Roman" w:hAnsi="Times New Roman" w:cs="Times New Roman"/>
          <w:sz w:val="28"/>
          <w:szCs w:val="28"/>
        </w:rPr>
        <w:t>ортале</w:t>
      </w:r>
      <w:r w:rsidR="00C63B21">
        <w:rPr>
          <w:rFonts w:ascii="Times New Roman" w:hAnsi="Times New Roman" w:cs="Times New Roman"/>
          <w:sz w:val="28"/>
          <w:szCs w:val="28"/>
        </w:rPr>
        <w:t xml:space="preserve"> </w:t>
      </w:r>
      <w:r w:rsidR="00827F0E">
        <w:rPr>
          <w:rFonts w:ascii="Times New Roman" w:hAnsi="Times New Roman" w:cs="Times New Roman"/>
          <w:sz w:val="28"/>
          <w:szCs w:val="28"/>
        </w:rPr>
        <w:t xml:space="preserve">для материально ответственных лиц - </w:t>
      </w:r>
      <w:hyperlink r:id="rId6" w:history="1">
        <w:r w:rsidR="00403D92" w:rsidRPr="0030180C">
          <w:rPr>
            <w:rStyle w:val="a6"/>
            <w:rFonts w:ascii="Times New Roman" w:hAnsi="Times New Roman" w:cs="Times New Roman"/>
            <w:sz w:val="28"/>
            <w:szCs w:val="28"/>
          </w:rPr>
          <w:t>https://mol.spbstu.ru/</w:t>
        </w:r>
      </w:hyperlink>
      <w:r w:rsidR="00D8375D">
        <w:rPr>
          <w:rFonts w:ascii="Times New Roman" w:hAnsi="Times New Roman" w:cs="Times New Roman"/>
          <w:sz w:val="28"/>
          <w:szCs w:val="28"/>
        </w:rPr>
        <w:t>)</w:t>
      </w:r>
      <w:r w:rsidR="00827F0E">
        <w:rPr>
          <w:rFonts w:ascii="Times New Roman" w:hAnsi="Times New Roman" w:cs="Times New Roman"/>
          <w:sz w:val="28"/>
          <w:szCs w:val="28"/>
        </w:rPr>
        <w:t>;</w:t>
      </w:r>
    </w:p>
    <w:p w:rsidR="00403D92" w:rsidRDefault="00403D92" w:rsidP="00C73D03">
      <w:pPr>
        <w:pStyle w:val="a3"/>
        <w:numPr>
          <w:ilvl w:val="0"/>
          <w:numId w:val="7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A91">
        <w:rPr>
          <w:rFonts w:ascii="Times New Roman" w:hAnsi="Times New Roman"/>
          <w:sz w:val="28"/>
          <w:szCs w:val="28"/>
        </w:rPr>
        <w:t>обеспечить материально ответственное лицо вычислительной техникой, подключенной к корпоративной сети Интернет</w:t>
      </w:r>
      <w:r w:rsidR="00D005EE">
        <w:rPr>
          <w:rFonts w:ascii="Times New Roman" w:hAnsi="Times New Roman"/>
          <w:sz w:val="28"/>
          <w:szCs w:val="28"/>
        </w:rPr>
        <w:t>;</w:t>
      </w:r>
    </w:p>
    <w:p w:rsidR="00A15C2E" w:rsidRDefault="0080477B" w:rsidP="00C73D03">
      <w:pPr>
        <w:pStyle w:val="a3"/>
        <w:numPr>
          <w:ilvl w:val="0"/>
          <w:numId w:val="7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на контроль</w:t>
      </w:r>
      <w:r w:rsidR="00CF0699" w:rsidRPr="00F477A7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F477A7" w:rsidRPr="00F477A7">
        <w:rPr>
          <w:rFonts w:ascii="Times New Roman" w:hAnsi="Times New Roman" w:cs="Times New Roman"/>
          <w:sz w:val="28"/>
          <w:szCs w:val="28"/>
        </w:rPr>
        <w:t>е</w:t>
      </w:r>
      <w:r w:rsidR="00CF0699" w:rsidRPr="00F477A7">
        <w:rPr>
          <w:rFonts w:ascii="Times New Roman" w:hAnsi="Times New Roman" w:cs="Times New Roman"/>
          <w:sz w:val="28"/>
          <w:szCs w:val="28"/>
        </w:rPr>
        <w:t xml:space="preserve"> сертификата усиленной квалифицированной электронной подписи </w:t>
      </w:r>
      <w:r w:rsidR="00EB5D19">
        <w:rPr>
          <w:rFonts w:ascii="Times New Roman" w:hAnsi="Times New Roman" w:cs="Times New Roman"/>
          <w:sz w:val="28"/>
          <w:szCs w:val="28"/>
        </w:rPr>
        <w:t>новым</w:t>
      </w:r>
      <w:r w:rsidR="00A15C2E">
        <w:rPr>
          <w:rFonts w:ascii="Times New Roman" w:hAnsi="Times New Roman" w:cs="Times New Roman"/>
          <w:sz w:val="28"/>
          <w:szCs w:val="28"/>
        </w:rPr>
        <w:t xml:space="preserve"> </w:t>
      </w:r>
      <w:r w:rsidR="00EB5D19">
        <w:rPr>
          <w:rFonts w:ascii="Times New Roman" w:hAnsi="Times New Roman" w:cs="Times New Roman"/>
          <w:sz w:val="28"/>
          <w:szCs w:val="28"/>
        </w:rPr>
        <w:t>материально ответственным лицом</w:t>
      </w:r>
      <w:r w:rsidR="00F477A7" w:rsidRPr="00F477A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477A7" w:rsidRPr="00F477A7">
        <w:rPr>
          <w:rFonts w:ascii="Times New Roman" w:hAnsi="Times New Roman" w:cs="Times New Roman"/>
          <w:sz w:val="28"/>
          <w:szCs w:val="28"/>
        </w:rPr>
        <w:t>ехнич</w:t>
      </w:r>
      <w:r w:rsidR="00D005EE">
        <w:rPr>
          <w:rFonts w:ascii="Times New Roman" w:hAnsi="Times New Roman" w:cs="Times New Roman"/>
          <w:sz w:val="28"/>
          <w:szCs w:val="28"/>
        </w:rPr>
        <w:t xml:space="preserve">еским сопровождением процесса </w:t>
      </w:r>
      <w:r w:rsidR="00F477A7" w:rsidRPr="00F477A7">
        <w:rPr>
          <w:rFonts w:ascii="Times New Roman" w:hAnsi="Times New Roman" w:cs="Times New Roman"/>
          <w:sz w:val="28"/>
          <w:szCs w:val="28"/>
        </w:rPr>
        <w:t>выпуск</w:t>
      </w:r>
      <w:r w:rsidR="00D005EE">
        <w:rPr>
          <w:rFonts w:ascii="Times New Roman" w:hAnsi="Times New Roman" w:cs="Times New Roman"/>
          <w:sz w:val="28"/>
          <w:szCs w:val="28"/>
        </w:rPr>
        <w:t>а</w:t>
      </w:r>
      <w:r w:rsidR="00F477A7" w:rsidRPr="00F477A7">
        <w:rPr>
          <w:rFonts w:ascii="Times New Roman" w:hAnsi="Times New Roman" w:cs="Times New Roman"/>
          <w:sz w:val="28"/>
          <w:szCs w:val="28"/>
        </w:rPr>
        <w:t xml:space="preserve"> занимается Управление цифрового развития и </w:t>
      </w:r>
      <w:r w:rsidR="00827F0E" w:rsidRPr="00F477A7">
        <w:rPr>
          <w:rFonts w:ascii="Times New Roman" w:hAnsi="Times New Roman" w:cs="Times New Roman"/>
          <w:sz w:val="28"/>
          <w:szCs w:val="28"/>
        </w:rPr>
        <w:t>партнерства</w:t>
      </w:r>
      <w:r w:rsidR="00F477A7" w:rsidRPr="00F477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D92" w:rsidRDefault="00A15C2E" w:rsidP="00C73D03">
      <w:pPr>
        <w:pStyle w:val="a3"/>
        <w:numPr>
          <w:ilvl w:val="1"/>
          <w:numId w:val="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3D92">
        <w:rPr>
          <w:rFonts w:ascii="Times New Roman" w:hAnsi="Times New Roman" w:cs="Times New Roman"/>
          <w:sz w:val="28"/>
          <w:szCs w:val="28"/>
        </w:rPr>
        <w:t>Работнику, принимающему материальные ценности</w:t>
      </w:r>
      <w:r w:rsidR="00403D92">
        <w:rPr>
          <w:rFonts w:ascii="Times New Roman" w:hAnsi="Times New Roman" w:cs="Times New Roman"/>
          <w:sz w:val="28"/>
          <w:szCs w:val="28"/>
        </w:rPr>
        <w:t>:</w:t>
      </w:r>
      <w:r w:rsidR="00403D92" w:rsidRPr="00403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433" w:rsidRPr="00D005EE" w:rsidRDefault="00403D92" w:rsidP="00C73D03">
      <w:pPr>
        <w:pStyle w:val="a3"/>
        <w:numPr>
          <w:ilvl w:val="0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77B">
        <w:rPr>
          <w:rFonts w:ascii="Times New Roman" w:hAnsi="Times New Roman" w:cs="Times New Roman"/>
          <w:sz w:val="28"/>
          <w:szCs w:val="28"/>
        </w:rPr>
        <w:t>п</w:t>
      </w:r>
      <w:r w:rsidR="00F91433" w:rsidRPr="0080477B">
        <w:rPr>
          <w:rFonts w:ascii="Times New Roman" w:hAnsi="Times New Roman" w:cs="Times New Roman"/>
          <w:sz w:val="28"/>
          <w:szCs w:val="28"/>
        </w:rPr>
        <w:t xml:space="preserve">редоставить </w:t>
      </w:r>
      <w:r w:rsidR="00827F0E" w:rsidRPr="0080477B">
        <w:rPr>
          <w:rFonts w:ascii="Times New Roman" w:hAnsi="Times New Roman" w:cs="Times New Roman"/>
          <w:sz w:val="28"/>
          <w:szCs w:val="28"/>
        </w:rPr>
        <w:t xml:space="preserve">на корпоративную почту </w:t>
      </w:r>
      <w:r w:rsidR="00F91433" w:rsidRPr="0080477B">
        <w:rPr>
          <w:rFonts w:ascii="Times New Roman" w:hAnsi="Times New Roman" w:cs="Times New Roman"/>
          <w:sz w:val="28"/>
          <w:szCs w:val="28"/>
        </w:rPr>
        <w:t>отдел</w:t>
      </w:r>
      <w:r w:rsidR="00827F0E" w:rsidRPr="0080477B">
        <w:rPr>
          <w:rFonts w:ascii="Times New Roman" w:hAnsi="Times New Roman" w:cs="Times New Roman"/>
          <w:sz w:val="28"/>
          <w:szCs w:val="28"/>
        </w:rPr>
        <w:t>а</w:t>
      </w:r>
      <w:r w:rsidR="00F91433" w:rsidRPr="0080477B">
        <w:rPr>
          <w:rFonts w:ascii="Times New Roman" w:hAnsi="Times New Roman" w:cs="Times New Roman"/>
          <w:sz w:val="28"/>
          <w:szCs w:val="28"/>
        </w:rPr>
        <w:t xml:space="preserve"> учета нефинансовых активов Управления бухгалтерского учета </w:t>
      </w:r>
      <w:r w:rsidR="00437A9F" w:rsidRPr="0080477B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437A9F" w:rsidRPr="0080477B">
          <w:rPr>
            <w:rFonts w:ascii="Times New Roman" w:hAnsi="Times New Roman" w:cs="Times New Roman"/>
            <w:sz w:val="28"/>
          </w:rPr>
          <w:t>pm.dep@spbstu.ru</w:t>
        </w:r>
      </w:hyperlink>
      <w:r w:rsidR="00437A9F" w:rsidRPr="0080477B">
        <w:rPr>
          <w:rFonts w:ascii="Times New Roman" w:hAnsi="Times New Roman" w:cs="Times New Roman"/>
          <w:sz w:val="28"/>
          <w:szCs w:val="28"/>
        </w:rPr>
        <w:t>)</w:t>
      </w:r>
      <w:r w:rsidR="00437A9F" w:rsidRPr="00D005EE">
        <w:rPr>
          <w:rFonts w:ascii="Times New Roman" w:hAnsi="Times New Roman" w:cs="Times New Roman"/>
          <w:sz w:val="28"/>
          <w:szCs w:val="28"/>
        </w:rPr>
        <w:t xml:space="preserve"> </w:t>
      </w:r>
      <w:r w:rsidR="00F91433" w:rsidRPr="00D005EE">
        <w:rPr>
          <w:rFonts w:ascii="Times New Roman" w:hAnsi="Times New Roman" w:cs="Times New Roman"/>
          <w:sz w:val="28"/>
          <w:szCs w:val="28"/>
        </w:rPr>
        <w:t>для подключения к автоматизированной программе «Личный кабинет ответственного лица»</w:t>
      </w:r>
      <w:r w:rsidRPr="00D005EE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F91433" w:rsidRPr="00D005EE">
        <w:rPr>
          <w:rFonts w:ascii="Times New Roman" w:hAnsi="Times New Roman" w:cs="Times New Roman"/>
          <w:sz w:val="28"/>
          <w:szCs w:val="28"/>
        </w:rPr>
        <w:t>:</w:t>
      </w:r>
    </w:p>
    <w:p w:rsidR="00F91433" w:rsidRPr="00F91433" w:rsidRDefault="00F91433" w:rsidP="00C73D03">
      <w:pPr>
        <w:pStyle w:val="a3"/>
        <w:spacing w:line="276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91433">
        <w:rPr>
          <w:rFonts w:ascii="Times New Roman" w:hAnsi="Times New Roman" w:cs="Times New Roman"/>
          <w:sz w:val="28"/>
          <w:szCs w:val="28"/>
        </w:rPr>
        <w:t>•</w:t>
      </w:r>
      <w:r w:rsidRPr="00F91433">
        <w:rPr>
          <w:rFonts w:ascii="Times New Roman" w:hAnsi="Times New Roman" w:cs="Times New Roman"/>
          <w:sz w:val="28"/>
          <w:szCs w:val="28"/>
        </w:rPr>
        <w:tab/>
        <w:t>Доменная учетная запись (логин)</w:t>
      </w:r>
    </w:p>
    <w:p w:rsidR="00F91433" w:rsidRPr="00F91433" w:rsidRDefault="00F91433" w:rsidP="00C73D03">
      <w:pPr>
        <w:pStyle w:val="a3"/>
        <w:spacing w:line="276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91433">
        <w:rPr>
          <w:rFonts w:ascii="Times New Roman" w:hAnsi="Times New Roman" w:cs="Times New Roman"/>
          <w:sz w:val="28"/>
          <w:szCs w:val="28"/>
        </w:rPr>
        <w:t>•</w:t>
      </w:r>
      <w:r w:rsidRPr="00F91433">
        <w:rPr>
          <w:rFonts w:ascii="Times New Roman" w:hAnsi="Times New Roman" w:cs="Times New Roman"/>
          <w:sz w:val="28"/>
          <w:szCs w:val="28"/>
        </w:rPr>
        <w:tab/>
        <w:t>Телефон (рабочий)</w:t>
      </w:r>
    </w:p>
    <w:p w:rsidR="00F91433" w:rsidRPr="00F91433" w:rsidRDefault="00F91433" w:rsidP="00C73D03">
      <w:pPr>
        <w:pStyle w:val="a3"/>
        <w:spacing w:line="276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91433">
        <w:rPr>
          <w:rFonts w:ascii="Times New Roman" w:hAnsi="Times New Roman" w:cs="Times New Roman"/>
          <w:sz w:val="28"/>
          <w:szCs w:val="28"/>
        </w:rPr>
        <w:t>•</w:t>
      </w:r>
      <w:r w:rsidRPr="00F91433">
        <w:rPr>
          <w:rFonts w:ascii="Times New Roman" w:hAnsi="Times New Roman" w:cs="Times New Roman"/>
          <w:sz w:val="28"/>
          <w:szCs w:val="28"/>
        </w:rPr>
        <w:tab/>
        <w:t>Адрес электронной корпоративной почты (@spbstu.ru)</w:t>
      </w:r>
    </w:p>
    <w:p w:rsidR="00F91433" w:rsidRPr="00F91433" w:rsidRDefault="00F91433" w:rsidP="00C73D03">
      <w:pPr>
        <w:pStyle w:val="a3"/>
        <w:spacing w:line="276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91433">
        <w:rPr>
          <w:rFonts w:ascii="Times New Roman" w:hAnsi="Times New Roman" w:cs="Times New Roman"/>
          <w:sz w:val="28"/>
          <w:szCs w:val="28"/>
        </w:rPr>
        <w:t>•</w:t>
      </w:r>
      <w:r w:rsidRPr="00F91433">
        <w:rPr>
          <w:rFonts w:ascii="Times New Roman" w:hAnsi="Times New Roman" w:cs="Times New Roman"/>
          <w:sz w:val="28"/>
          <w:szCs w:val="28"/>
        </w:rPr>
        <w:tab/>
        <w:t>Местонахождение рабочего места (адрес/корпус/этаж/кабинет)</w:t>
      </w:r>
    </w:p>
    <w:p w:rsidR="00403D92" w:rsidRDefault="00F91433" w:rsidP="00C73D03">
      <w:pPr>
        <w:pStyle w:val="a3"/>
        <w:spacing w:line="276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91433">
        <w:rPr>
          <w:rFonts w:ascii="Times New Roman" w:hAnsi="Times New Roman" w:cs="Times New Roman"/>
          <w:sz w:val="28"/>
          <w:szCs w:val="28"/>
        </w:rPr>
        <w:t>•</w:t>
      </w:r>
      <w:r w:rsidRPr="00F91433">
        <w:rPr>
          <w:rFonts w:ascii="Times New Roman" w:hAnsi="Times New Roman" w:cs="Times New Roman"/>
          <w:sz w:val="28"/>
          <w:szCs w:val="28"/>
        </w:rPr>
        <w:tab/>
        <w:t>IP-адрес, полученный по ссылке https://buhfin.spbstu.ru/index.asp с помощью своей учетной</w:t>
      </w:r>
      <w:r w:rsidR="0080477B">
        <w:rPr>
          <w:rFonts w:ascii="Times New Roman" w:hAnsi="Times New Roman" w:cs="Times New Roman"/>
          <w:sz w:val="28"/>
          <w:szCs w:val="28"/>
        </w:rPr>
        <w:t xml:space="preserve"> записи в домене университета;</w:t>
      </w:r>
    </w:p>
    <w:p w:rsidR="0080477B" w:rsidRDefault="0080477B" w:rsidP="00C73D03">
      <w:pPr>
        <w:pStyle w:val="a3"/>
        <w:numPr>
          <w:ilvl w:val="0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сертификат </w:t>
      </w:r>
      <w:r w:rsidRPr="00F477A7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>, согласно Инструкции о порядке оформления УКЭП, утвержденную приказом от 16.11.2023 №2841 «О выдаче сертификатов УКЭП для материально ответственных лиц»</w:t>
      </w:r>
      <w:r w:rsidR="00E54D73">
        <w:rPr>
          <w:rFonts w:ascii="Times New Roman" w:hAnsi="Times New Roman" w:cs="Times New Roman"/>
          <w:sz w:val="28"/>
          <w:szCs w:val="28"/>
        </w:rPr>
        <w:t>;</w:t>
      </w:r>
    </w:p>
    <w:p w:rsidR="00E54D73" w:rsidRPr="0080477B" w:rsidRDefault="00E54D73" w:rsidP="00C73D03">
      <w:pPr>
        <w:pStyle w:val="a3"/>
        <w:numPr>
          <w:ilvl w:val="0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ознакомиться с функциональными обязанностями ответственных лиц, </w:t>
      </w:r>
      <w:r w:rsidR="00561AE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размещены в разделе Общие положения</w:t>
      </w:r>
      <w:r w:rsidR="00560E08">
        <w:rPr>
          <w:rFonts w:ascii="Times New Roman" w:hAnsi="Times New Roman" w:cs="Times New Roman"/>
          <w:sz w:val="28"/>
          <w:szCs w:val="28"/>
        </w:rPr>
        <w:t xml:space="preserve"> Портала</w:t>
      </w:r>
      <w:r>
        <w:rPr>
          <w:rFonts w:ascii="Times New Roman" w:hAnsi="Times New Roman" w:cs="Times New Roman"/>
          <w:sz w:val="28"/>
          <w:szCs w:val="28"/>
        </w:rPr>
        <w:t xml:space="preserve"> для материально </w:t>
      </w:r>
      <w:r w:rsidR="00560E08">
        <w:rPr>
          <w:rFonts w:ascii="Times New Roman" w:hAnsi="Times New Roman" w:cs="Times New Roman"/>
          <w:sz w:val="28"/>
          <w:szCs w:val="28"/>
        </w:rPr>
        <w:t>ответственных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561AE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60E08" w:rsidRPr="0030180C">
          <w:rPr>
            <w:rStyle w:val="a6"/>
            <w:rFonts w:ascii="Times New Roman" w:hAnsi="Times New Roman" w:cs="Times New Roman"/>
            <w:sz w:val="28"/>
            <w:szCs w:val="28"/>
          </w:rPr>
          <w:t>https://mol.spbstu.ru/obshie_polozgheniya/</w:t>
        </w:r>
      </w:hyperlink>
      <w:r w:rsidR="00560E08">
        <w:rPr>
          <w:rFonts w:ascii="Times New Roman" w:hAnsi="Times New Roman" w:cs="Times New Roman"/>
          <w:sz w:val="28"/>
          <w:szCs w:val="28"/>
        </w:rPr>
        <w:t>). Распечатать два экземпляра, подписать, один экземпляр предоставить в отдел учета нефинансовых активов Управления бухгалтерского учета, второй – хранить на рабочем месте.</w:t>
      </w:r>
    </w:p>
    <w:p w:rsidR="00A15C2E" w:rsidRDefault="002A0519" w:rsidP="00C73D03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Ответственному лицу, передающему материальные ценности,</w:t>
      </w:r>
      <w:r w:rsidR="00561AEE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иному ответственному лицу с</w:t>
      </w:r>
      <w:r w:rsidR="00C63B21" w:rsidRPr="00403D92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566DE9">
        <w:rPr>
          <w:rFonts w:ascii="Times New Roman" w:hAnsi="Times New Roman" w:cs="Times New Roman"/>
          <w:sz w:val="28"/>
          <w:szCs w:val="28"/>
        </w:rPr>
        <w:t>документ «</w:t>
      </w:r>
      <w:r w:rsidR="00C63B21" w:rsidRPr="00403D92">
        <w:rPr>
          <w:rFonts w:ascii="Times New Roman" w:hAnsi="Times New Roman" w:cs="Times New Roman"/>
          <w:sz w:val="28"/>
          <w:szCs w:val="28"/>
        </w:rPr>
        <w:t>Решение о проведении инвентаризации</w:t>
      </w:r>
      <w:r w:rsidR="00566DE9">
        <w:rPr>
          <w:rFonts w:ascii="Times New Roman" w:hAnsi="Times New Roman" w:cs="Times New Roman"/>
          <w:sz w:val="28"/>
          <w:szCs w:val="28"/>
        </w:rPr>
        <w:t>»</w:t>
      </w:r>
      <w:r w:rsidR="00C63B21" w:rsidRPr="00403D92">
        <w:rPr>
          <w:rFonts w:ascii="Times New Roman" w:hAnsi="Times New Roman" w:cs="Times New Roman"/>
          <w:sz w:val="28"/>
          <w:szCs w:val="28"/>
        </w:rPr>
        <w:t xml:space="preserve"> (ф.0510439) с применением автоматизированной программы «1С: Документооборот государственных учреждений»</w:t>
      </w:r>
      <w:r w:rsidR="00403D92" w:rsidRPr="00403D92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48795B" w:rsidRPr="0030180C">
          <w:rPr>
            <w:rStyle w:val="a6"/>
            <w:rFonts w:ascii="Times New Roman" w:hAnsi="Times New Roman" w:cs="Times New Roman"/>
            <w:sz w:val="28"/>
            <w:szCs w:val="28"/>
          </w:rPr>
          <w:t>https://sed.spbstu.ru/</w:t>
        </w:r>
      </w:hyperlink>
      <w:r w:rsidR="00403D92" w:rsidRPr="00403D92">
        <w:rPr>
          <w:rFonts w:ascii="Times New Roman" w:hAnsi="Times New Roman" w:cs="Times New Roman"/>
          <w:sz w:val="28"/>
          <w:szCs w:val="28"/>
        </w:rPr>
        <w:t>)</w:t>
      </w:r>
      <w:r w:rsidR="0048795B">
        <w:rPr>
          <w:rFonts w:ascii="Times New Roman" w:hAnsi="Times New Roman" w:cs="Times New Roman"/>
          <w:sz w:val="28"/>
          <w:szCs w:val="28"/>
        </w:rPr>
        <w:t>, там же размещена инст</w:t>
      </w:r>
      <w:r w:rsidR="005F3EB8">
        <w:rPr>
          <w:rFonts w:ascii="Times New Roman" w:hAnsi="Times New Roman" w:cs="Times New Roman"/>
          <w:sz w:val="28"/>
          <w:szCs w:val="28"/>
        </w:rPr>
        <w:t>рукция по формированию и запуску</w:t>
      </w:r>
      <w:r w:rsidR="00561AEE">
        <w:rPr>
          <w:rFonts w:ascii="Times New Roman" w:hAnsi="Times New Roman" w:cs="Times New Roman"/>
          <w:sz w:val="28"/>
          <w:szCs w:val="28"/>
        </w:rPr>
        <w:t xml:space="preserve"> электронного согласования</w:t>
      </w:r>
      <w:r w:rsidR="0048795B">
        <w:rPr>
          <w:rFonts w:ascii="Times New Roman" w:hAnsi="Times New Roman" w:cs="Times New Roman"/>
          <w:sz w:val="28"/>
          <w:szCs w:val="28"/>
        </w:rPr>
        <w:t xml:space="preserve"> документа.</w:t>
      </w:r>
    </w:p>
    <w:p w:rsidR="00272DB5" w:rsidRDefault="008E09C7" w:rsidP="00C73D03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«Решения о проведении инвентаризации» (ф</w:t>
      </w:r>
      <w:r w:rsidR="00C73D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0510439) </w:t>
      </w:r>
      <w:r w:rsidR="00561AEE">
        <w:rPr>
          <w:rFonts w:ascii="Times New Roman" w:hAnsi="Times New Roman" w:cs="Times New Roman"/>
          <w:sz w:val="28"/>
          <w:szCs w:val="28"/>
        </w:rPr>
        <w:t>через помощника</w:t>
      </w:r>
      <w:r w:rsidR="00272DB5">
        <w:rPr>
          <w:rFonts w:ascii="Times New Roman" w:hAnsi="Times New Roman" w:cs="Times New Roman"/>
          <w:sz w:val="28"/>
          <w:szCs w:val="28"/>
        </w:rPr>
        <w:t xml:space="preserve"> создания необходимо указать:</w:t>
      </w:r>
    </w:p>
    <w:p w:rsidR="00272DB5" w:rsidRDefault="008E09C7" w:rsidP="00C73D03">
      <w:pPr>
        <w:pStyle w:val="a3"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52565B">
        <w:rPr>
          <w:rFonts w:ascii="Times New Roman" w:hAnsi="Times New Roman" w:cs="Times New Roman"/>
          <w:sz w:val="28"/>
          <w:szCs w:val="28"/>
        </w:rPr>
        <w:t>«</w:t>
      </w:r>
      <w:r w:rsidR="00740421">
        <w:rPr>
          <w:rFonts w:ascii="Times New Roman" w:hAnsi="Times New Roman" w:cs="Times New Roman"/>
          <w:sz w:val="28"/>
          <w:szCs w:val="28"/>
        </w:rPr>
        <w:t>Причина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инвентаризации</w:t>
      </w:r>
      <w:r w:rsidR="005256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DB5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 xml:space="preserve">мена </w:t>
      </w:r>
      <w:r w:rsidR="0052565B">
        <w:rPr>
          <w:rFonts w:ascii="Times New Roman" w:hAnsi="Times New Roman" w:cs="Times New Roman"/>
          <w:sz w:val="28"/>
          <w:szCs w:val="28"/>
        </w:rPr>
        <w:t>ответственного лица</w:t>
      </w:r>
      <w:r w:rsidR="00272DB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DB5" w:rsidRDefault="00740421" w:rsidP="00C73D03">
      <w:pPr>
        <w:pStyle w:val="a3"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«Вид инвентаризации»</w:t>
      </w:r>
      <w:r w:rsidR="00272DB5">
        <w:rPr>
          <w:rFonts w:ascii="Times New Roman" w:hAnsi="Times New Roman" w:cs="Times New Roman"/>
          <w:sz w:val="28"/>
          <w:szCs w:val="28"/>
        </w:rPr>
        <w:t xml:space="preserve"> - сплошная;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DB5" w:rsidRDefault="008E09C7" w:rsidP="00C73D03">
      <w:pPr>
        <w:pStyle w:val="a3"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740421">
        <w:rPr>
          <w:rFonts w:ascii="Times New Roman" w:hAnsi="Times New Roman" w:cs="Times New Roman"/>
          <w:sz w:val="28"/>
          <w:szCs w:val="28"/>
        </w:rPr>
        <w:t>инвентаризации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40421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проведения инвентаризации должны совпадать</w:t>
      </w:r>
      <w:r w:rsidR="0052565B">
        <w:rPr>
          <w:rFonts w:ascii="Times New Roman" w:hAnsi="Times New Roman" w:cs="Times New Roman"/>
          <w:sz w:val="28"/>
          <w:szCs w:val="28"/>
        </w:rPr>
        <w:t xml:space="preserve"> (при выборе даты учесть, что отдел учета нефинансовых активов Управления бухгалтерского учета подготавливает документы для проведения инвентаризации только после полного согласования «Решения о проведении инвентаризации» и ознакомления с ним)</w:t>
      </w:r>
      <w:r w:rsidR="00272DB5">
        <w:rPr>
          <w:rFonts w:ascii="Times New Roman" w:hAnsi="Times New Roman" w:cs="Times New Roman"/>
          <w:sz w:val="28"/>
          <w:szCs w:val="28"/>
        </w:rPr>
        <w:t>;</w:t>
      </w:r>
      <w:r w:rsidR="00740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9C7" w:rsidRDefault="00272DB5" w:rsidP="00C73D03">
      <w:pPr>
        <w:pStyle w:val="a3"/>
        <w:numPr>
          <w:ilvl w:val="0"/>
          <w:numId w:val="9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- </w:t>
      </w:r>
      <w:r w:rsidR="00740421">
        <w:rPr>
          <w:rFonts w:ascii="Times New Roman" w:hAnsi="Times New Roman" w:cs="Times New Roman"/>
          <w:sz w:val="28"/>
          <w:szCs w:val="28"/>
        </w:rPr>
        <w:t>не менее пяти человек (в том числе председатель).</w:t>
      </w:r>
    </w:p>
    <w:p w:rsidR="005F3EB8" w:rsidRDefault="00561AEE" w:rsidP="00C73D03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275818">
        <w:rPr>
          <w:rFonts w:ascii="Times New Roman" w:hAnsi="Times New Roman" w:cs="Times New Roman"/>
          <w:sz w:val="28"/>
          <w:szCs w:val="28"/>
        </w:rPr>
        <w:t xml:space="preserve"> одного-</w:t>
      </w:r>
      <w:r w:rsidR="00272DB5">
        <w:rPr>
          <w:rFonts w:ascii="Times New Roman" w:hAnsi="Times New Roman" w:cs="Times New Roman"/>
          <w:sz w:val="28"/>
          <w:szCs w:val="28"/>
        </w:rPr>
        <w:t>трех рабочих дней п</w:t>
      </w:r>
      <w:r w:rsidR="002A0519">
        <w:rPr>
          <w:rFonts w:ascii="Times New Roman" w:hAnsi="Times New Roman" w:cs="Times New Roman"/>
          <w:sz w:val="28"/>
          <w:szCs w:val="28"/>
        </w:rPr>
        <w:t xml:space="preserve">осле утверждения </w:t>
      </w:r>
      <w:r w:rsidR="00566DE9">
        <w:rPr>
          <w:rFonts w:ascii="Times New Roman" w:hAnsi="Times New Roman" w:cs="Times New Roman"/>
          <w:sz w:val="28"/>
          <w:szCs w:val="28"/>
        </w:rPr>
        <w:t>«</w:t>
      </w:r>
      <w:r w:rsidR="005F3EB8">
        <w:rPr>
          <w:rFonts w:ascii="Times New Roman" w:hAnsi="Times New Roman" w:cs="Times New Roman"/>
          <w:sz w:val="28"/>
          <w:szCs w:val="28"/>
        </w:rPr>
        <w:t>Решения</w:t>
      </w:r>
      <w:r w:rsidR="002A0519" w:rsidRPr="00403D92">
        <w:rPr>
          <w:rFonts w:ascii="Times New Roman" w:hAnsi="Times New Roman" w:cs="Times New Roman"/>
          <w:sz w:val="28"/>
          <w:szCs w:val="28"/>
        </w:rPr>
        <w:t xml:space="preserve"> о проведении инвентаризации</w:t>
      </w:r>
      <w:r w:rsidR="00566DE9">
        <w:rPr>
          <w:rFonts w:ascii="Times New Roman" w:hAnsi="Times New Roman" w:cs="Times New Roman"/>
          <w:sz w:val="28"/>
          <w:szCs w:val="28"/>
        </w:rPr>
        <w:t>»</w:t>
      </w:r>
      <w:r w:rsidR="002A0519" w:rsidRPr="00403D92">
        <w:rPr>
          <w:rFonts w:ascii="Times New Roman" w:hAnsi="Times New Roman" w:cs="Times New Roman"/>
          <w:sz w:val="28"/>
          <w:szCs w:val="28"/>
        </w:rPr>
        <w:t xml:space="preserve"> (ф.0510439)</w:t>
      </w:r>
      <w:r w:rsidR="002A0519" w:rsidRPr="002A0519">
        <w:rPr>
          <w:rFonts w:ascii="Times New Roman" w:hAnsi="Times New Roman" w:cs="Times New Roman"/>
          <w:sz w:val="28"/>
          <w:szCs w:val="28"/>
        </w:rPr>
        <w:t xml:space="preserve"> </w:t>
      </w:r>
      <w:r w:rsidR="002A0519">
        <w:rPr>
          <w:rFonts w:ascii="Times New Roman" w:hAnsi="Times New Roman" w:cs="Times New Roman"/>
          <w:sz w:val="28"/>
          <w:szCs w:val="28"/>
        </w:rPr>
        <w:t>и обязательного ознакомления с ним</w:t>
      </w:r>
      <w:r w:rsidR="00566DE9">
        <w:rPr>
          <w:rFonts w:ascii="Times New Roman" w:hAnsi="Times New Roman" w:cs="Times New Roman"/>
          <w:sz w:val="28"/>
          <w:szCs w:val="28"/>
        </w:rPr>
        <w:t xml:space="preserve"> всех указанных членов комиссии</w:t>
      </w:r>
      <w:r w:rsidR="00275818">
        <w:rPr>
          <w:rFonts w:ascii="Times New Roman" w:hAnsi="Times New Roman" w:cs="Times New Roman"/>
          <w:sz w:val="28"/>
          <w:szCs w:val="28"/>
        </w:rPr>
        <w:t xml:space="preserve"> (или за день до начала проведения инвентаризации)</w:t>
      </w:r>
      <w:r w:rsidR="005F3EB8">
        <w:rPr>
          <w:rFonts w:ascii="Times New Roman" w:hAnsi="Times New Roman" w:cs="Times New Roman"/>
          <w:sz w:val="28"/>
          <w:szCs w:val="28"/>
        </w:rPr>
        <w:t>, отдел учет</w:t>
      </w:r>
      <w:r w:rsidR="00272DB5">
        <w:rPr>
          <w:rFonts w:ascii="Times New Roman" w:hAnsi="Times New Roman" w:cs="Times New Roman"/>
          <w:sz w:val="28"/>
          <w:szCs w:val="28"/>
        </w:rPr>
        <w:t>а</w:t>
      </w:r>
      <w:r w:rsidR="005F3EB8">
        <w:rPr>
          <w:rFonts w:ascii="Times New Roman" w:hAnsi="Times New Roman" w:cs="Times New Roman"/>
          <w:sz w:val="28"/>
          <w:szCs w:val="28"/>
        </w:rPr>
        <w:t xml:space="preserve"> нефинансовых активов Управления бухгалтерского учета подготавливает </w:t>
      </w:r>
      <w:r w:rsidR="00272DB5">
        <w:rPr>
          <w:rFonts w:ascii="Times New Roman" w:hAnsi="Times New Roman" w:cs="Times New Roman"/>
          <w:sz w:val="28"/>
          <w:szCs w:val="28"/>
        </w:rPr>
        <w:t xml:space="preserve">и передает ответственному лицу, передающему материальные ценности, или члену инвентаризационной комиссии </w:t>
      </w:r>
      <w:r w:rsidR="005F3EB8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5F3EB8" w:rsidRDefault="005F3EB8" w:rsidP="00C73D03">
      <w:pPr>
        <w:pStyle w:val="a3"/>
        <w:numPr>
          <w:ilvl w:val="0"/>
          <w:numId w:val="8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инвентаризационные описи;</w:t>
      </w:r>
    </w:p>
    <w:p w:rsidR="00FF47B2" w:rsidRDefault="00FF47B2" w:rsidP="00C73D03">
      <w:pPr>
        <w:pStyle w:val="a3"/>
        <w:numPr>
          <w:ilvl w:val="0"/>
          <w:numId w:val="8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 расхождений (при необходимости)</w:t>
      </w:r>
      <w:r w:rsidR="00367A2C">
        <w:rPr>
          <w:rFonts w:ascii="Times New Roman" w:hAnsi="Times New Roman" w:cs="Times New Roman"/>
          <w:sz w:val="28"/>
          <w:szCs w:val="28"/>
        </w:rPr>
        <w:t>;</w:t>
      </w:r>
    </w:p>
    <w:p w:rsidR="005F3EB8" w:rsidRDefault="005F3EB8" w:rsidP="00C73D03">
      <w:pPr>
        <w:pStyle w:val="a3"/>
        <w:numPr>
          <w:ilvl w:val="0"/>
          <w:numId w:val="8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7A2C">
        <w:rPr>
          <w:rFonts w:ascii="Times New Roman" w:hAnsi="Times New Roman" w:cs="Times New Roman"/>
          <w:sz w:val="28"/>
          <w:szCs w:val="28"/>
        </w:rPr>
        <w:t>кт о результатах инвентаризации.</w:t>
      </w:r>
    </w:p>
    <w:p w:rsidR="00275818" w:rsidRPr="00275818" w:rsidRDefault="00CD2832" w:rsidP="00C73D03">
      <w:pPr>
        <w:pStyle w:val="a3"/>
        <w:numPr>
          <w:ilvl w:val="0"/>
          <w:numId w:val="3"/>
        </w:numPr>
        <w:tabs>
          <w:tab w:val="left" w:pos="360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Инвентаризацию </w:t>
      </w:r>
      <w:r w:rsidR="00275818" w:rsidRPr="009D53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(на балансовых и </w:t>
      </w:r>
      <w:proofErr w:type="spellStart"/>
      <w:r w:rsidR="00275818" w:rsidRPr="009D534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забалансовых</w:t>
      </w:r>
      <w:proofErr w:type="spellEnd"/>
      <w:r w:rsidR="00275818" w:rsidRPr="009D53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счетах)</w:t>
      </w:r>
      <w:r w:rsidR="002758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производить комиссии:</w:t>
      </w:r>
    </w:p>
    <w:p w:rsidR="00275818" w:rsidRDefault="00275818" w:rsidP="00C73D03">
      <w:pPr>
        <w:pStyle w:val="a3"/>
        <w:numPr>
          <w:ilvl w:val="0"/>
          <w:numId w:val="10"/>
        </w:numPr>
        <w:tabs>
          <w:tab w:val="left" w:pos="360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средств – путем осмотра объектов</w:t>
      </w:r>
      <w:r w:rsidR="002209E8">
        <w:rPr>
          <w:rFonts w:ascii="Times New Roman" w:hAnsi="Times New Roman" w:cs="Times New Roman"/>
          <w:sz w:val="28"/>
          <w:szCs w:val="28"/>
        </w:rPr>
        <w:t>;</w:t>
      </w:r>
    </w:p>
    <w:p w:rsidR="00275818" w:rsidRPr="00275818" w:rsidRDefault="00275818" w:rsidP="00C73D03">
      <w:pPr>
        <w:pStyle w:val="a3"/>
        <w:numPr>
          <w:ilvl w:val="0"/>
          <w:numId w:val="10"/>
        </w:numPr>
        <w:tabs>
          <w:tab w:val="left" w:pos="360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материальных запасов, сувенирной продукции, бланков строгой отчетности 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путем их пересчета, взвешивания, обмера;</w:t>
      </w:r>
    </w:p>
    <w:p w:rsidR="00275818" w:rsidRPr="002209E8" w:rsidRDefault="00275818" w:rsidP="00C73D03">
      <w:pPr>
        <w:pStyle w:val="a3"/>
        <w:numPr>
          <w:ilvl w:val="0"/>
          <w:numId w:val="10"/>
        </w:numPr>
        <w:tabs>
          <w:tab w:val="left" w:pos="360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27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прав пользования нематериальными активами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374271"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путем проверки срока действия предоставленных прав пользования по лицензионным (</w:t>
      </w:r>
      <w:proofErr w:type="spellStart"/>
      <w:r w:rsidRPr="00374271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сублицензионным</w:t>
      </w:r>
      <w:proofErr w:type="spellEnd"/>
      <w:r w:rsidRPr="00374271">
        <w:rPr>
          <w:rFonts w:ascii="Times New Roman" w:eastAsia="Times New Roman" w:hAnsi="Times New Roman" w:cs="Times New Roman"/>
          <w:sz w:val="28"/>
          <w:szCs w:val="28"/>
          <w:lang w:eastAsia="ar-SA"/>
        </w:rPr>
        <w:t>) договорам</w:t>
      </w:r>
      <w:r w:rsidR="002209E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75818" w:rsidRPr="00CD2832" w:rsidRDefault="002209E8" w:rsidP="00C73D03">
      <w:pPr>
        <w:pStyle w:val="a3"/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</w:t>
      </w:r>
      <w:r w:rsidR="006C5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проведении </w:t>
      </w:r>
      <w:r w:rsidRPr="00FE33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инвентаризации комиссии необходимо подтверждать статус </w:t>
      </w:r>
      <w:r w:rsidR="00367A2C" w:rsidRPr="00FE33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целевую функцию </w:t>
      </w:r>
      <w:r w:rsidRPr="00FE33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имущества на принадлежность его к активу </w:t>
      </w:r>
      <w:r w:rsidR="00FE337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Приложения к памятке. В случае определения комиссией объектов основных средств, не отвечающих критериям признания активом (списание), в дополнение к инвентаризационным описям необходимо составить дефектную ведомость и ведомость расхождений.</w:t>
      </w:r>
      <w:r w:rsidR="009F0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Члены комиссии в обязательном порядке подписывают инвентаризационные описи, акт о результатах инвентаризации, ведомость расхождений и дефектную ведомость (в случае определения объектов под списание).</w:t>
      </w:r>
    </w:p>
    <w:p w:rsidR="00CD2832" w:rsidRDefault="00CD2832" w:rsidP="00C73D03">
      <w:pPr>
        <w:pStyle w:val="a3"/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проведения инвентаризации ответственному лицу, передающему материальные ценности, необходимо в автоматизированной программе «Личный кабинет ответственного лица» сформировать </w:t>
      </w:r>
      <w:r w:rsidRPr="00A15C2E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561AEE">
        <w:rPr>
          <w:rFonts w:ascii="Times New Roman" w:hAnsi="Times New Roman" w:cs="Times New Roman"/>
          <w:sz w:val="28"/>
          <w:szCs w:val="28"/>
        </w:rPr>
        <w:t>для перемещения</w:t>
      </w:r>
      <w:r w:rsidRPr="00A15C2E">
        <w:rPr>
          <w:rFonts w:ascii="Times New Roman" w:hAnsi="Times New Roman" w:cs="Times New Roman"/>
          <w:sz w:val="28"/>
          <w:szCs w:val="28"/>
        </w:rPr>
        <w:t xml:space="preserve"> материальных ценносте</w:t>
      </w:r>
      <w:r>
        <w:rPr>
          <w:rFonts w:ascii="Times New Roman" w:hAnsi="Times New Roman" w:cs="Times New Roman"/>
          <w:sz w:val="28"/>
          <w:szCs w:val="28"/>
        </w:rPr>
        <w:t>й на новое ответственное лицо</w:t>
      </w:r>
      <w:r w:rsidR="00561AEE">
        <w:rPr>
          <w:rFonts w:ascii="Times New Roman" w:hAnsi="Times New Roman" w:cs="Times New Roman"/>
          <w:sz w:val="28"/>
          <w:szCs w:val="28"/>
        </w:rPr>
        <w:t xml:space="preserve"> (н</w:t>
      </w:r>
      <w:r w:rsidR="00561AEE" w:rsidRPr="00A15C2E">
        <w:rPr>
          <w:rFonts w:ascii="Times New Roman" w:hAnsi="Times New Roman" w:cs="Times New Roman"/>
          <w:sz w:val="28"/>
          <w:szCs w:val="28"/>
        </w:rPr>
        <w:t xml:space="preserve">акладные на внутреннее перемещение </w:t>
      </w:r>
      <w:r w:rsidR="00561AEE">
        <w:rPr>
          <w:rFonts w:ascii="Times New Roman" w:hAnsi="Times New Roman" w:cs="Times New Roman"/>
          <w:sz w:val="28"/>
          <w:szCs w:val="28"/>
        </w:rPr>
        <w:t>по объектам основных средств и материальных запасов</w:t>
      </w:r>
      <w:r w:rsidR="00561AEE" w:rsidRPr="00A15C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принимающее материальные ценности. Инструкция по формированию внутреннего перемещения размещена </w:t>
      </w:r>
      <w:r w:rsidR="009F08D7">
        <w:rPr>
          <w:rFonts w:ascii="Times New Roman" w:hAnsi="Times New Roman" w:cs="Times New Roman"/>
          <w:sz w:val="28"/>
          <w:szCs w:val="28"/>
        </w:rPr>
        <w:t>в раз</w:t>
      </w:r>
      <w:r>
        <w:rPr>
          <w:rFonts w:ascii="Times New Roman" w:hAnsi="Times New Roman" w:cs="Times New Roman"/>
          <w:sz w:val="28"/>
          <w:szCs w:val="28"/>
        </w:rPr>
        <w:t>деле Памятки по</w:t>
      </w:r>
      <w:r w:rsidR="009F08D7">
        <w:rPr>
          <w:rFonts w:ascii="Times New Roman" w:hAnsi="Times New Roman" w:cs="Times New Roman"/>
          <w:sz w:val="28"/>
          <w:szCs w:val="28"/>
        </w:rPr>
        <w:t xml:space="preserve"> учету, списанию, проведению инвентаризации Портала</w:t>
      </w:r>
      <w:r>
        <w:rPr>
          <w:rFonts w:ascii="Times New Roman" w:hAnsi="Times New Roman" w:cs="Times New Roman"/>
          <w:sz w:val="28"/>
          <w:szCs w:val="28"/>
        </w:rPr>
        <w:t xml:space="preserve"> для материально ответственных лиц</w:t>
      </w:r>
      <w:r w:rsidR="009F08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D15FE7">
          <w:rPr>
            <w:rStyle w:val="a6"/>
            <w:rFonts w:ascii="Times New Roman" w:hAnsi="Times New Roman" w:cs="Times New Roman"/>
            <w:sz w:val="28"/>
            <w:szCs w:val="28"/>
          </w:rPr>
          <w:t>https://mol.spbstu.ru/pamyatki_po_uchetu_spisaniu_i_provedeniu_inventarizacii_imushestva_universiteta/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D2832" w:rsidRDefault="009F08D7" w:rsidP="00C73D03">
      <w:pPr>
        <w:pStyle w:val="a3"/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Оформленные и подписанные членами комиссии документы инвентаризации сдаются в отдел учета нефинансовых активов Управления бухгалтерского учета в течение одного рабочего </w:t>
      </w:r>
      <w:r w:rsidR="00561AEE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>после даты проведения инвентаризации (указана во всех документах инвентаризации).</w:t>
      </w:r>
    </w:p>
    <w:p w:rsidR="00946B75" w:rsidRDefault="009F08D7" w:rsidP="00C73D03">
      <w:pPr>
        <w:pStyle w:val="a3"/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учета нефинансовых активов Управления бухгалтерского учета оформляет</w:t>
      </w:r>
      <w:r w:rsidR="00946B75">
        <w:rPr>
          <w:rFonts w:ascii="Times New Roman" w:hAnsi="Times New Roman" w:cs="Times New Roman"/>
          <w:sz w:val="28"/>
          <w:szCs w:val="28"/>
        </w:rPr>
        <w:t>:</w:t>
      </w:r>
    </w:p>
    <w:p w:rsidR="009F08D7" w:rsidRDefault="009F08D7" w:rsidP="00C73D03">
      <w:pPr>
        <w:pStyle w:val="a3"/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B75">
        <w:rPr>
          <w:rFonts w:ascii="Times New Roman" w:hAnsi="Times New Roman" w:cs="Times New Roman"/>
          <w:sz w:val="28"/>
          <w:szCs w:val="28"/>
        </w:rPr>
        <w:t xml:space="preserve">ответственному лицу, принявшему материальные ценности </w:t>
      </w:r>
      <w:r w:rsidR="00946B75">
        <w:rPr>
          <w:rFonts w:ascii="Times New Roman" w:hAnsi="Times New Roman" w:cs="Times New Roman"/>
          <w:sz w:val="28"/>
          <w:szCs w:val="28"/>
        </w:rPr>
        <w:t xml:space="preserve">- </w:t>
      </w:r>
      <w:r w:rsidRPr="00946B75">
        <w:rPr>
          <w:rFonts w:ascii="Times New Roman" w:hAnsi="Times New Roman" w:cs="Times New Roman"/>
          <w:sz w:val="28"/>
          <w:szCs w:val="28"/>
        </w:rPr>
        <w:t>договор о полной индивидуальной материальной ответственности в двух экземплярах (один экземпляр хранится в отделе учета нефинансовых активов Управления бухгалтерского учета, второй – на рабочем месте</w:t>
      </w:r>
      <w:r w:rsidR="00946B75">
        <w:rPr>
          <w:rFonts w:ascii="Times New Roman" w:hAnsi="Times New Roman" w:cs="Times New Roman"/>
          <w:sz w:val="28"/>
          <w:szCs w:val="28"/>
        </w:rPr>
        <w:t xml:space="preserve"> материально ответственно лица);</w:t>
      </w:r>
    </w:p>
    <w:p w:rsidR="00946B75" w:rsidRDefault="00946B75" w:rsidP="00C73D03">
      <w:pPr>
        <w:pStyle w:val="a3"/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ответственному лицу, передающему материальные ценности – соглашение о расторжении договора </w:t>
      </w:r>
      <w:r w:rsidRPr="00946B75">
        <w:rPr>
          <w:rFonts w:ascii="Times New Roman" w:hAnsi="Times New Roman" w:cs="Times New Roman"/>
          <w:sz w:val="28"/>
          <w:szCs w:val="28"/>
        </w:rPr>
        <w:t>полной индивидуальной материальной ответственности в двух экземплярах (один экземпляр хранится в отделе учета нефинансовых активов Управления бухгалтерского учета, второй – на рабочем месте</w:t>
      </w:r>
      <w:r>
        <w:rPr>
          <w:rFonts w:ascii="Times New Roman" w:hAnsi="Times New Roman" w:cs="Times New Roman"/>
          <w:sz w:val="28"/>
          <w:szCs w:val="28"/>
        </w:rPr>
        <w:t xml:space="preserve"> материально ответственно лица); представление об отмене доплаты за документационное обеспечение материальной точки.</w:t>
      </w:r>
    </w:p>
    <w:p w:rsidR="00946B75" w:rsidRPr="00D576D8" w:rsidRDefault="00946B75" w:rsidP="00C73D03">
      <w:pPr>
        <w:pStyle w:val="a3"/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D03">
        <w:rPr>
          <w:rFonts w:ascii="Times New Roman" w:hAnsi="Times New Roman" w:cs="Times New Roman"/>
          <w:sz w:val="28"/>
          <w:szCs w:val="28"/>
        </w:rPr>
        <w:t>Руководитель вновь назначенного</w:t>
      </w:r>
      <w:r>
        <w:rPr>
          <w:rFonts w:ascii="Times New Roman" w:hAnsi="Times New Roman" w:cs="Times New Roman"/>
          <w:sz w:val="28"/>
          <w:szCs w:val="28"/>
        </w:rPr>
        <w:t xml:space="preserve"> материально </w:t>
      </w:r>
      <w:r w:rsidR="00C73D03">
        <w:rPr>
          <w:rFonts w:ascii="Times New Roman" w:hAnsi="Times New Roman" w:cs="Times New Roman"/>
          <w:sz w:val="28"/>
          <w:szCs w:val="28"/>
        </w:rPr>
        <w:t>ответственного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D03">
        <w:rPr>
          <w:rFonts w:ascii="Times New Roman" w:hAnsi="Times New Roman" w:cs="Times New Roman"/>
          <w:sz w:val="28"/>
          <w:szCs w:val="28"/>
        </w:rPr>
        <w:t>имеет право оформить</w:t>
      </w:r>
      <w:r>
        <w:rPr>
          <w:rFonts w:ascii="Times New Roman" w:hAnsi="Times New Roman" w:cs="Times New Roman"/>
          <w:sz w:val="28"/>
          <w:szCs w:val="28"/>
        </w:rPr>
        <w:t xml:space="preserve"> служебную </w:t>
      </w:r>
      <w:r w:rsidR="00D576D8">
        <w:rPr>
          <w:rFonts w:ascii="Times New Roman" w:hAnsi="Times New Roman" w:cs="Times New Roman"/>
          <w:sz w:val="28"/>
          <w:szCs w:val="28"/>
        </w:rPr>
        <w:t>записку на установление доплаты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документационное обеспечение материальной точки</w:t>
      </w:r>
      <w:r w:rsidR="00C73D03"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, при </w:t>
      </w:r>
      <w:r w:rsidR="00D576D8">
        <w:rPr>
          <w:rFonts w:ascii="Times New Roman" w:hAnsi="Times New Roman" w:cs="Times New Roman"/>
          <w:sz w:val="28"/>
          <w:szCs w:val="28"/>
        </w:rPr>
        <w:t>выполнении следующих условий:</w:t>
      </w:r>
      <w:r>
        <w:rPr>
          <w:rFonts w:ascii="Times New Roman" w:hAnsi="Times New Roman" w:cs="Times New Roman"/>
          <w:sz w:val="28"/>
          <w:szCs w:val="28"/>
        </w:rPr>
        <w:t xml:space="preserve"> сдачи документов инвентаризации, полном заполнении характеристик объектов основных средств (заводской/серийный номер, местонахождение, индивид</w:t>
      </w:r>
      <w:r w:rsidR="00D576D8">
        <w:rPr>
          <w:rFonts w:ascii="Times New Roman" w:hAnsi="Times New Roman" w:cs="Times New Roman"/>
          <w:sz w:val="28"/>
          <w:szCs w:val="28"/>
        </w:rPr>
        <w:t>уальные краткие характеристики), отсутствия долгов по списанию материальных запасов и сувенирной продукции. Шаблон служебной записки запросить в отделе учета нефинансовых активов Управления бухгалтерского учета (</w:t>
      </w:r>
      <w:hyperlink r:id="rId11" w:history="1">
        <w:r w:rsidR="00D576D8" w:rsidRPr="0080477B">
          <w:rPr>
            <w:rFonts w:ascii="Times New Roman" w:hAnsi="Times New Roman" w:cs="Times New Roman"/>
            <w:sz w:val="28"/>
          </w:rPr>
          <w:t>pm.dep@spbstu.ru</w:t>
        </w:r>
      </w:hyperlink>
      <w:r w:rsidR="00D576D8">
        <w:rPr>
          <w:rFonts w:ascii="Times New Roman" w:hAnsi="Times New Roman" w:cs="Times New Roman"/>
          <w:sz w:val="28"/>
        </w:rPr>
        <w:t>)</w:t>
      </w:r>
      <w:r w:rsidR="00D576D8" w:rsidRPr="00D576D8">
        <w:rPr>
          <w:rFonts w:ascii="Times New Roman" w:hAnsi="Times New Roman" w:cs="Times New Roman"/>
          <w:sz w:val="28"/>
          <w:szCs w:val="28"/>
        </w:rPr>
        <w:t>.</w:t>
      </w:r>
    </w:p>
    <w:p w:rsidR="00275818" w:rsidRPr="002209E8" w:rsidRDefault="00275818" w:rsidP="002209E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08D7" w:rsidRPr="00791C70" w:rsidRDefault="009F08D7" w:rsidP="00791C7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1C70">
        <w:rPr>
          <w:rFonts w:ascii="Times New Roman" w:eastAsia="Calibri" w:hAnsi="Times New Roman" w:cs="Times New Roman"/>
          <w:b/>
          <w:sz w:val="28"/>
          <w:szCs w:val="28"/>
        </w:rPr>
        <w:t>Все документы, указанные в памятке</w:t>
      </w:r>
      <w:r w:rsidR="00561AE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791C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61AEE">
        <w:rPr>
          <w:rFonts w:ascii="Times New Roman" w:eastAsia="Calibri" w:hAnsi="Times New Roman" w:cs="Times New Roman"/>
          <w:b/>
          <w:sz w:val="28"/>
          <w:szCs w:val="28"/>
        </w:rPr>
        <w:t>размещены на сайте Университета</w:t>
      </w:r>
      <w:r w:rsidRPr="00791C70"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</w:p>
    <w:p w:rsidR="009F08D7" w:rsidRPr="00791C70" w:rsidRDefault="009F08D7" w:rsidP="00791C7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1C70">
        <w:rPr>
          <w:rFonts w:ascii="Times New Roman" w:eastAsia="Calibri" w:hAnsi="Times New Roman" w:cs="Times New Roman"/>
          <w:b/>
          <w:sz w:val="28"/>
          <w:szCs w:val="28"/>
        </w:rPr>
        <w:t xml:space="preserve"> р</w:t>
      </w:r>
      <w:r w:rsidR="00561AEE">
        <w:rPr>
          <w:rFonts w:ascii="Times New Roman" w:eastAsia="Calibri" w:hAnsi="Times New Roman" w:cs="Times New Roman"/>
          <w:b/>
          <w:sz w:val="28"/>
          <w:szCs w:val="28"/>
        </w:rPr>
        <w:t>азделе административный каталог</w:t>
      </w:r>
      <w:r w:rsidRPr="00791C70">
        <w:rPr>
          <w:rFonts w:ascii="Times New Roman" w:eastAsia="Calibri" w:hAnsi="Times New Roman" w:cs="Times New Roman"/>
          <w:b/>
          <w:sz w:val="28"/>
          <w:szCs w:val="28"/>
        </w:rPr>
        <w:t xml:space="preserve"> и на портале для материально ответственных лиц (https://mol.spbstu.ru/).</w:t>
      </w:r>
    </w:p>
    <w:p w:rsidR="001436E1" w:rsidRDefault="001436E1" w:rsidP="00C32650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91C70" w:rsidRDefault="00791C70" w:rsidP="00C32650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91C70" w:rsidRDefault="00791C70" w:rsidP="00C32650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C5E4D" w:rsidRDefault="00791C70" w:rsidP="002C5E4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C70">
        <w:rPr>
          <w:rFonts w:ascii="Times New Roman" w:hAnsi="Times New Roman" w:cs="Times New Roman"/>
          <w:b/>
          <w:sz w:val="28"/>
          <w:szCs w:val="28"/>
        </w:rPr>
        <w:t>Обращаем Ваше внимание дежурный бухгалтер отдела учета нефинансовых активов ос</w:t>
      </w:r>
      <w:r w:rsidR="00561AEE">
        <w:rPr>
          <w:rFonts w:ascii="Times New Roman" w:hAnsi="Times New Roman" w:cs="Times New Roman"/>
          <w:b/>
          <w:sz w:val="28"/>
          <w:szCs w:val="28"/>
        </w:rPr>
        <w:t xml:space="preserve">уществляет прием </w:t>
      </w:r>
      <w:r w:rsidR="002C5E4D">
        <w:rPr>
          <w:rFonts w:ascii="Times New Roman" w:hAnsi="Times New Roman" w:cs="Times New Roman"/>
          <w:b/>
          <w:sz w:val="28"/>
          <w:szCs w:val="28"/>
        </w:rPr>
        <w:t xml:space="preserve">ежедневно </w:t>
      </w:r>
    </w:p>
    <w:p w:rsidR="002C5E4D" w:rsidRDefault="002C5E4D" w:rsidP="002C5E4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9-15 по 17-15 (перерыв на обед с 13-00 по 13-30)</w:t>
      </w:r>
    </w:p>
    <w:p w:rsidR="002C5E4D" w:rsidRDefault="00561AEE" w:rsidP="002C5E4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кабинете 124</w:t>
      </w:r>
      <w:r w:rsidR="002C5E4D">
        <w:rPr>
          <w:rFonts w:ascii="Times New Roman" w:hAnsi="Times New Roman" w:cs="Times New Roman"/>
          <w:b/>
          <w:sz w:val="28"/>
          <w:szCs w:val="28"/>
        </w:rPr>
        <w:t xml:space="preserve"> первого учебного корпуса.        </w:t>
      </w:r>
    </w:p>
    <w:p w:rsidR="00C73D03" w:rsidRDefault="00C73D03" w:rsidP="00791C70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D03" w:rsidRDefault="00C73D03" w:rsidP="00791C70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D03" w:rsidRDefault="00C73D03" w:rsidP="00791C70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D03" w:rsidRDefault="00C73D03" w:rsidP="00791C70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D03" w:rsidRDefault="00C73D03" w:rsidP="00791C70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D03" w:rsidRDefault="00C73D03" w:rsidP="00791C70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D03" w:rsidRDefault="00C73D03" w:rsidP="00791C70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D03" w:rsidRDefault="00C73D03" w:rsidP="00791C70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D03" w:rsidRDefault="00C73D03" w:rsidP="00791C70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D03" w:rsidRDefault="00C73D03" w:rsidP="00791C70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D03" w:rsidRDefault="00C73D03" w:rsidP="00791C70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D03" w:rsidRDefault="00C73D03" w:rsidP="00791C70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AEE" w:rsidRDefault="00561AEE" w:rsidP="00791C70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AEE" w:rsidRDefault="00561AEE" w:rsidP="00791C70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D03" w:rsidRDefault="00C73D03" w:rsidP="00C73D03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C73D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E1CBD">
        <w:rPr>
          <w:rFonts w:ascii="Times New Roman" w:hAnsi="Times New Roman" w:cs="Times New Roman"/>
          <w:sz w:val="28"/>
          <w:szCs w:val="28"/>
        </w:rPr>
        <w:t xml:space="preserve"> к памятке</w:t>
      </w:r>
    </w:p>
    <w:p w:rsidR="00C73D03" w:rsidRPr="005E1CBD" w:rsidRDefault="00561AEE" w:rsidP="00561AEE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CBD">
        <w:rPr>
          <w:rFonts w:ascii="Times New Roman" w:hAnsi="Times New Roman" w:cs="Times New Roman"/>
          <w:b/>
          <w:sz w:val="28"/>
          <w:szCs w:val="28"/>
        </w:rPr>
        <w:t>Статусы и целевые функции объектов нефинансовых активов</w:t>
      </w:r>
    </w:p>
    <w:tbl>
      <w:tblPr>
        <w:tblStyle w:val="38"/>
        <w:tblW w:w="9918" w:type="dxa"/>
        <w:tblInd w:w="0" w:type="dxa"/>
        <w:tblLook w:val="04A0" w:firstRow="1" w:lastRow="0" w:firstColumn="1" w:lastColumn="0" w:noHBand="0" w:noVBand="1"/>
      </w:tblPr>
      <w:tblGrid>
        <w:gridCol w:w="1984"/>
        <w:gridCol w:w="3139"/>
        <w:gridCol w:w="953"/>
        <w:gridCol w:w="2771"/>
        <w:gridCol w:w="1071"/>
      </w:tblGrid>
      <w:tr w:rsidR="00561AEE" w:rsidRPr="00561AEE" w:rsidTr="004418D4">
        <w:tc>
          <w:tcPr>
            <w:tcW w:w="1921" w:type="dxa"/>
            <w:vAlign w:val="center"/>
          </w:tcPr>
          <w:p w:rsidR="00561AEE" w:rsidRPr="00561AEE" w:rsidRDefault="00561AEE" w:rsidP="004418D4">
            <w:pPr>
              <w:ind w:left="-120" w:right="-19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sz w:val="28"/>
                <w:szCs w:val="24"/>
              </w:rPr>
              <w:t>Объект нефинансовых активов</w:t>
            </w:r>
          </w:p>
        </w:tc>
        <w:tc>
          <w:tcPr>
            <w:tcW w:w="3171" w:type="dxa"/>
            <w:vAlign w:val="center"/>
          </w:tcPr>
          <w:p w:rsidR="00561AEE" w:rsidRPr="00561AEE" w:rsidRDefault="00561AEE" w:rsidP="004418D4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61AEE">
              <w:rPr>
                <w:rFonts w:ascii="Times New Roman" w:hAnsi="Times New Roman"/>
                <w:sz w:val="28"/>
                <w:szCs w:val="24"/>
              </w:rPr>
              <w:t>Статусы</w:t>
            </w:r>
          </w:p>
        </w:tc>
        <w:tc>
          <w:tcPr>
            <w:tcW w:w="958" w:type="dxa"/>
            <w:vAlign w:val="center"/>
          </w:tcPr>
          <w:p w:rsidR="00561AEE" w:rsidRPr="00561AEE" w:rsidRDefault="00561AEE" w:rsidP="004418D4">
            <w:pPr>
              <w:ind w:left="-113" w:right="-114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61AEE">
              <w:rPr>
                <w:rFonts w:ascii="Times New Roman" w:hAnsi="Times New Roman"/>
                <w:sz w:val="28"/>
                <w:szCs w:val="24"/>
              </w:rPr>
              <w:t>Код</w:t>
            </w:r>
          </w:p>
        </w:tc>
        <w:tc>
          <w:tcPr>
            <w:tcW w:w="2788" w:type="dxa"/>
            <w:vAlign w:val="center"/>
          </w:tcPr>
          <w:p w:rsidR="00561AEE" w:rsidRPr="00561AEE" w:rsidRDefault="00561AEE" w:rsidP="004418D4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61AEE">
              <w:rPr>
                <w:rFonts w:ascii="Times New Roman" w:hAnsi="Times New Roman"/>
                <w:sz w:val="28"/>
                <w:szCs w:val="24"/>
              </w:rPr>
              <w:t>Целевая функция</w:t>
            </w:r>
          </w:p>
        </w:tc>
        <w:tc>
          <w:tcPr>
            <w:tcW w:w="1080" w:type="dxa"/>
            <w:vAlign w:val="center"/>
          </w:tcPr>
          <w:p w:rsidR="00561AEE" w:rsidRPr="00561AEE" w:rsidRDefault="00561AEE" w:rsidP="004418D4">
            <w:pPr>
              <w:ind w:left="-114" w:right="-115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61AEE">
              <w:rPr>
                <w:rFonts w:ascii="Times New Roman" w:hAnsi="Times New Roman"/>
                <w:sz w:val="28"/>
                <w:szCs w:val="24"/>
              </w:rPr>
              <w:t>Код</w:t>
            </w:r>
          </w:p>
        </w:tc>
      </w:tr>
      <w:tr w:rsidR="00561AEE" w:rsidRPr="00561AEE" w:rsidTr="004418D4">
        <w:tc>
          <w:tcPr>
            <w:tcW w:w="1921" w:type="dxa"/>
            <w:vMerge w:val="restart"/>
            <w:vAlign w:val="center"/>
          </w:tcPr>
          <w:p w:rsidR="00561AEE" w:rsidRPr="00561AEE" w:rsidRDefault="00561AEE" w:rsidP="00046794">
            <w:pPr>
              <w:ind w:left="-120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b/>
                <w:sz w:val="24"/>
                <w:szCs w:val="24"/>
              </w:rPr>
              <w:t>Основные средства</w:t>
            </w:r>
            <w:r w:rsidRPr="00561AEE">
              <w:rPr>
                <w:rFonts w:ascii="Times New Roman" w:hAnsi="Times New Roman"/>
                <w:sz w:val="24"/>
                <w:szCs w:val="24"/>
              </w:rPr>
              <w:t xml:space="preserve">          (</w:t>
            </w:r>
            <w:r w:rsidR="00046794" w:rsidRPr="00561AEE">
              <w:rPr>
                <w:rFonts w:ascii="Times New Roman" w:hAnsi="Times New Roman"/>
                <w:sz w:val="24"/>
                <w:szCs w:val="24"/>
              </w:rPr>
              <w:t>счет</w:t>
            </w:r>
            <w:r w:rsidR="00046794">
              <w:rPr>
                <w:rFonts w:ascii="Times New Roman" w:hAnsi="Times New Roman"/>
                <w:sz w:val="24"/>
                <w:szCs w:val="24"/>
              </w:rPr>
              <w:t>а</w:t>
            </w:r>
            <w:r w:rsidR="00046794" w:rsidRPr="00561AEE">
              <w:rPr>
                <w:rFonts w:ascii="Times New Roman" w:hAnsi="Times New Roman"/>
                <w:sz w:val="24"/>
                <w:szCs w:val="24"/>
              </w:rPr>
              <w:t xml:space="preserve"> учета </w:t>
            </w:r>
            <w:r w:rsidR="00046794">
              <w:rPr>
                <w:rFonts w:ascii="Times New Roman" w:hAnsi="Times New Roman"/>
                <w:sz w:val="24"/>
                <w:szCs w:val="24"/>
              </w:rPr>
              <w:t>101, 21, 01</w:t>
            </w:r>
            <w:r w:rsidRPr="00561A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71" w:type="dxa"/>
            <w:vAlign w:val="center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в эксплуатации</w:t>
            </w:r>
          </w:p>
        </w:tc>
        <w:tc>
          <w:tcPr>
            <w:tcW w:w="958" w:type="dxa"/>
            <w:vAlign w:val="center"/>
          </w:tcPr>
          <w:p w:rsidR="00561AEE" w:rsidRPr="005E1CBD" w:rsidRDefault="00561AEE" w:rsidP="004418D4">
            <w:pPr>
              <w:ind w:left="-113" w:right="-1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</w:rPr>
              <w:t>ОС.1</w:t>
            </w:r>
          </w:p>
        </w:tc>
        <w:tc>
          <w:tcPr>
            <w:tcW w:w="2788" w:type="dxa"/>
            <w:vAlign w:val="center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введение в эксплуатацию</w:t>
            </w:r>
            <w:r w:rsidR="00256CCC" w:rsidRPr="0004679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56CCC" w:rsidRPr="0004679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только для складов</w:t>
            </w:r>
          </w:p>
        </w:tc>
        <w:tc>
          <w:tcPr>
            <w:tcW w:w="1080" w:type="dxa"/>
            <w:vAlign w:val="center"/>
          </w:tcPr>
          <w:p w:rsidR="00561AEE" w:rsidRPr="005E1CBD" w:rsidRDefault="00561AEE" w:rsidP="004418D4">
            <w:pPr>
              <w:ind w:left="-114" w:right="-11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</w:rPr>
              <w:t>ОС.А</w:t>
            </w:r>
          </w:p>
        </w:tc>
      </w:tr>
      <w:tr w:rsidR="00561AEE" w:rsidRPr="00561AEE" w:rsidTr="004418D4">
        <w:tc>
          <w:tcPr>
            <w:tcW w:w="1921" w:type="dxa"/>
            <w:vMerge/>
            <w:vAlign w:val="center"/>
          </w:tcPr>
          <w:p w:rsidR="00561AEE" w:rsidRPr="00561AEE" w:rsidRDefault="00561AEE" w:rsidP="00561AEE">
            <w:pPr>
              <w:ind w:left="-120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vMerge w:val="restart"/>
            <w:vAlign w:val="center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не введен в эксплуатацию</w:t>
            </w:r>
            <w:r w:rsidR="005E1CB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E1CBD" w:rsidRPr="0004679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только для складов</w:t>
            </w:r>
          </w:p>
        </w:tc>
        <w:tc>
          <w:tcPr>
            <w:tcW w:w="958" w:type="dxa"/>
            <w:vMerge w:val="restart"/>
            <w:vAlign w:val="center"/>
          </w:tcPr>
          <w:p w:rsidR="00561AEE" w:rsidRPr="005E1CBD" w:rsidRDefault="00561AEE" w:rsidP="004418D4">
            <w:pPr>
              <w:ind w:left="-113" w:right="-1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</w:rPr>
              <w:t>ОС.5</w:t>
            </w:r>
          </w:p>
        </w:tc>
        <w:tc>
          <w:tcPr>
            <w:tcW w:w="2788" w:type="dxa"/>
            <w:vAlign w:val="center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списание</w:t>
            </w:r>
          </w:p>
        </w:tc>
        <w:tc>
          <w:tcPr>
            <w:tcW w:w="1080" w:type="dxa"/>
            <w:vAlign w:val="center"/>
          </w:tcPr>
          <w:p w:rsidR="00561AEE" w:rsidRPr="005E1CBD" w:rsidRDefault="00561AEE" w:rsidP="004418D4">
            <w:pPr>
              <w:ind w:left="-114" w:right="-11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</w:rPr>
              <w:t>ОС.Д</w:t>
            </w:r>
          </w:p>
        </w:tc>
      </w:tr>
      <w:tr w:rsidR="00561AEE" w:rsidRPr="00561AEE" w:rsidTr="004418D4">
        <w:tc>
          <w:tcPr>
            <w:tcW w:w="1921" w:type="dxa"/>
            <w:vMerge/>
            <w:vAlign w:val="center"/>
          </w:tcPr>
          <w:p w:rsidR="00561AEE" w:rsidRPr="00561AEE" w:rsidRDefault="00561AEE" w:rsidP="00561AEE">
            <w:pPr>
              <w:ind w:left="-120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  <w:vAlign w:val="center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561AEE" w:rsidRPr="005E1CBD" w:rsidRDefault="00561AEE" w:rsidP="004418D4">
            <w:pPr>
              <w:ind w:left="-113" w:right="-1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ожидает монтажа</w:t>
            </w:r>
          </w:p>
        </w:tc>
        <w:tc>
          <w:tcPr>
            <w:tcW w:w="1080" w:type="dxa"/>
            <w:vAlign w:val="center"/>
          </w:tcPr>
          <w:p w:rsidR="00561AEE" w:rsidRPr="005E1CBD" w:rsidRDefault="00561AEE" w:rsidP="004418D4">
            <w:pPr>
              <w:ind w:left="-114" w:right="-11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</w:rPr>
              <w:t>ОС.Е</w:t>
            </w:r>
          </w:p>
        </w:tc>
      </w:tr>
      <w:tr w:rsidR="00561AEE" w:rsidRPr="00561AEE" w:rsidTr="004418D4">
        <w:tc>
          <w:tcPr>
            <w:tcW w:w="1921" w:type="dxa"/>
            <w:vMerge/>
            <w:vAlign w:val="center"/>
          </w:tcPr>
          <w:p w:rsidR="00561AEE" w:rsidRPr="00561AEE" w:rsidRDefault="00561AEE" w:rsidP="00561AEE">
            <w:pPr>
              <w:ind w:left="-120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  <w:vAlign w:val="center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561AEE" w:rsidRPr="005E1CBD" w:rsidRDefault="00561AEE" w:rsidP="004418D4">
            <w:pPr>
              <w:ind w:left="-113" w:right="-1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утилизация</w:t>
            </w:r>
          </w:p>
        </w:tc>
        <w:tc>
          <w:tcPr>
            <w:tcW w:w="1080" w:type="dxa"/>
            <w:vAlign w:val="center"/>
          </w:tcPr>
          <w:p w:rsidR="00561AEE" w:rsidRPr="005E1CBD" w:rsidRDefault="00561AEE" w:rsidP="004418D4">
            <w:pPr>
              <w:ind w:left="-114" w:right="-11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</w:rPr>
              <w:t>ОС.Ж</w:t>
            </w:r>
          </w:p>
        </w:tc>
      </w:tr>
      <w:tr w:rsidR="00561AEE" w:rsidRPr="00561AEE" w:rsidTr="004418D4">
        <w:tc>
          <w:tcPr>
            <w:tcW w:w="1921" w:type="dxa"/>
            <w:vMerge w:val="restart"/>
            <w:vAlign w:val="center"/>
          </w:tcPr>
          <w:p w:rsidR="00561AEE" w:rsidRPr="00561AEE" w:rsidRDefault="00561AEE" w:rsidP="00046794">
            <w:pPr>
              <w:ind w:left="-120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Материальные запасы            </w:t>
            </w:r>
            <w:r w:rsidRPr="00561AEE">
              <w:rPr>
                <w:rFonts w:ascii="Times New Roman" w:hAnsi="Times New Roman"/>
                <w:sz w:val="24"/>
                <w:szCs w:val="24"/>
              </w:rPr>
              <w:t>(</w:t>
            </w:r>
            <w:r w:rsidR="00046794" w:rsidRPr="00561AEE">
              <w:rPr>
                <w:rFonts w:ascii="Times New Roman" w:hAnsi="Times New Roman"/>
                <w:sz w:val="24"/>
                <w:szCs w:val="24"/>
              </w:rPr>
              <w:t>счет</w:t>
            </w:r>
            <w:r w:rsidR="00046794">
              <w:rPr>
                <w:rFonts w:ascii="Times New Roman" w:hAnsi="Times New Roman"/>
                <w:sz w:val="24"/>
                <w:szCs w:val="24"/>
              </w:rPr>
              <w:t>а</w:t>
            </w:r>
            <w:r w:rsidR="00046794" w:rsidRPr="00561AEE">
              <w:rPr>
                <w:rFonts w:ascii="Times New Roman" w:hAnsi="Times New Roman"/>
                <w:sz w:val="24"/>
                <w:szCs w:val="24"/>
              </w:rPr>
              <w:t xml:space="preserve"> учета </w:t>
            </w:r>
            <w:r w:rsidRPr="00561AEE">
              <w:rPr>
                <w:rFonts w:ascii="Times New Roman" w:hAnsi="Times New Roman"/>
                <w:sz w:val="24"/>
                <w:szCs w:val="24"/>
              </w:rPr>
              <w:t>105, 07, 27.02, 23, 09, 12, 13)</w:t>
            </w:r>
          </w:p>
        </w:tc>
        <w:tc>
          <w:tcPr>
            <w:tcW w:w="3171" w:type="dxa"/>
            <w:vAlign w:val="center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в запасе (для использования)</w:t>
            </w:r>
          </w:p>
        </w:tc>
        <w:tc>
          <w:tcPr>
            <w:tcW w:w="958" w:type="dxa"/>
            <w:vAlign w:val="center"/>
          </w:tcPr>
          <w:p w:rsidR="00561AEE" w:rsidRPr="005E1CBD" w:rsidRDefault="00561AEE" w:rsidP="004418D4">
            <w:pPr>
              <w:ind w:left="-113" w:right="-1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</w:rPr>
              <w:t>МЗ.1</w:t>
            </w:r>
          </w:p>
        </w:tc>
        <w:tc>
          <w:tcPr>
            <w:tcW w:w="2788" w:type="dxa"/>
            <w:vAlign w:val="center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использовать</w:t>
            </w:r>
          </w:p>
        </w:tc>
        <w:tc>
          <w:tcPr>
            <w:tcW w:w="1080" w:type="dxa"/>
            <w:vAlign w:val="center"/>
          </w:tcPr>
          <w:p w:rsidR="00561AEE" w:rsidRPr="005E1CBD" w:rsidRDefault="00561AEE" w:rsidP="004418D4">
            <w:pPr>
              <w:ind w:left="-114" w:right="-11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</w:rPr>
              <w:t>МЗ.А</w:t>
            </w:r>
          </w:p>
        </w:tc>
      </w:tr>
      <w:tr w:rsidR="00561AEE" w:rsidRPr="00561AEE" w:rsidTr="004418D4">
        <w:tc>
          <w:tcPr>
            <w:tcW w:w="1921" w:type="dxa"/>
            <w:vMerge/>
            <w:vAlign w:val="center"/>
          </w:tcPr>
          <w:p w:rsidR="00561AEE" w:rsidRPr="00561AEE" w:rsidRDefault="00561AEE" w:rsidP="00561AEE">
            <w:pPr>
              <w:ind w:left="-120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vAlign w:val="center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в запасе (на хранении)</w:t>
            </w:r>
            <w:r w:rsidR="000467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46794" w:rsidRPr="0004679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только для складов</w:t>
            </w:r>
          </w:p>
        </w:tc>
        <w:tc>
          <w:tcPr>
            <w:tcW w:w="958" w:type="dxa"/>
            <w:vAlign w:val="center"/>
          </w:tcPr>
          <w:p w:rsidR="00561AEE" w:rsidRPr="005E1CBD" w:rsidRDefault="00561AEE" w:rsidP="004418D4">
            <w:pPr>
              <w:ind w:left="-113" w:right="-1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</w:rPr>
              <w:t>МЗ.2</w:t>
            </w:r>
          </w:p>
        </w:tc>
        <w:tc>
          <w:tcPr>
            <w:tcW w:w="2788" w:type="dxa"/>
            <w:vAlign w:val="center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продолжить хранение</w:t>
            </w:r>
            <w:r w:rsidR="00256CCC" w:rsidRPr="0004679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56CCC" w:rsidRPr="0004679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только для складов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561AEE" w:rsidRPr="005E1CBD" w:rsidRDefault="00561AEE" w:rsidP="004418D4">
            <w:pPr>
              <w:ind w:left="-114" w:right="-11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</w:rPr>
              <w:t>МЗ.Б</w:t>
            </w:r>
          </w:p>
        </w:tc>
      </w:tr>
      <w:tr w:rsidR="00561AEE" w:rsidRPr="00561AEE" w:rsidTr="004418D4">
        <w:tc>
          <w:tcPr>
            <w:tcW w:w="1921" w:type="dxa"/>
            <w:vMerge/>
            <w:vAlign w:val="center"/>
          </w:tcPr>
          <w:p w:rsidR="00561AEE" w:rsidRPr="00561AEE" w:rsidRDefault="00561AEE" w:rsidP="00561AEE">
            <w:pPr>
              <w:ind w:left="-120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vAlign w:val="center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ненадлежащего качества</w:t>
            </w:r>
          </w:p>
        </w:tc>
        <w:tc>
          <w:tcPr>
            <w:tcW w:w="958" w:type="dxa"/>
            <w:vAlign w:val="center"/>
          </w:tcPr>
          <w:p w:rsidR="00561AEE" w:rsidRPr="005E1CBD" w:rsidRDefault="00561AEE" w:rsidP="004418D4">
            <w:pPr>
              <w:ind w:left="-113" w:right="-1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</w:rPr>
              <w:t>МЗ.3</w:t>
            </w:r>
          </w:p>
        </w:tc>
        <w:tc>
          <w:tcPr>
            <w:tcW w:w="2788" w:type="dxa"/>
            <w:vAlign w:val="center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списание</w:t>
            </w:r>
          </w:p>
        </w:tc>
        <w:tc>
          <w:tcPr>
            <w:tcW w:w="1080" w:type="dxa"/>
            <w:vAlign w:val="center"/>
          </w:tcPr>
          <w:p w:rsidR="00561AEE" w:rsidRPr="005E1CBD" w:rsidRDefault="00561AEE" w:rsidP="004418D4">
            <w:pPr>
              <w:ind w:left="-114" w:right="-11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</w:rPr>
              <w:t>МЗ.В</w:t>
            </w:r>
          </w:p>
        </w:tc>
      </w:tr>
      <w:tr w:rsidR="00561AEE" w:rsidRPr="00561AEE" w:rsidTr="004418D4">
        <w:tc>
          <w:tcPr>
            <w:tcW w:w="1921" w:type="dxa"/>
            <w:vMerge/>
            <w:vAlign w:val="center"/>
          </w:tcPr>
          <w:p w:rsidR="00561AEE" w:rsidRPr="00561AEE" w:rsidRDefault="00561AEE" w:rsidP="00561AEE">
            <w:pPr>
              <w:ind w:left="-120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vMerge w:val="restart"/>
            <w:vAlign w:val="center"/>
          </w:tcPr>
          <w:p w:rsidR="00046794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истек срок хранения</w:t>
            </w:r>
            <w:r w:rsidR="000467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561AEE" w:rsidRPr="00561AEE" w:rsidRDefault="00046794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 w:rsidRPr="00561AE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для лекарств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енных препаратов, продуктов питания</w:t>
            </w: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                     </w:t>
            </w:r>
          </w:p>
        </w:tc>
        <w:tc>
          <w:tcPr>
            <w:tcW w:w="958" w:type="dxa"/>
            <w:vMerge w:val="restart"/>
            <w:vAlign w:val="center"/>
          </w:tcPr>
          <w:p w:rsidR="00561AEE" w:rsidRPr="005E1CBD" w:rsidRDefault="00561AEE" w:rsidP="004418D4">
            <w:pPr>
              <w:ind w:left="-113" w:right="-1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</w:rPr>
              <w:t>МЗ.5</w:t>
            </w:r>
          </w:p>
        </w:tc>
        <w:tc>
          <w:tcPr>
            <w:tcW w:w="2788" w:type="dxa"/>
            <w:vAlign w:val="center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истек срок хранения</w:t>
            </w:r>
          </w:p>
        </w:tc>
        <w:tc>
          <w:tcPr>
            <w:tcW w:w="1080" w:type="dxa"/>
            <w:vAlign w:val="center"/>
          </w:tcPr>
          <w:p w:rsidR="00561AEE" w:rsidRPr="005E1CBD" w:rsidRDefault="00561AEE" w:rsidP="004418D4">
            <w:pPr>
              <w:ind w:left="-114" w:right="-11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</w:rPr>
              <w:t>МЗ.Д</w:t>
            </w:r>
          </w:p>
        </w:tc>
      </w:tr>
      <w:tr w:rsidR="00561AEE" w:rsidRPr="00561AEE" w:rsidTr="004418D4">
        <w:tc>
          <w:tcPr>
            <w:tcW w:w="1921" w:type="dxa"/>
            <w:vMerge/>
            <w:vAlign w:val="center"/>
          </w:tcPr>
          <w:p w:rsidR="00561AEE" w:rsidRPr="00561AEE" w:rsidRDefault="00561AEE" w:rsidP="00561AEE">
            <w:pPr>
              <w:ind w:left="-120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  <w:vAlign w:val="center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561AEE" w:rsidRPr="005E1CBD" w:rsidRDefault="00561AEE" w:rsidP="004418D4">
            <w:pPr>
              <w:ind w:left="-113" w:right="-1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сбор экспериментального устройства</w:t>
            </w:r>
          </w:p>
        </w:tc>
        <w:tc>
          <w:tcPr>
            <w:tcW w:w="1080" w:type="dxa"/>
            <w:vAlign w:val="center"/>
          </w:tcPr>
          <w:p w:rsidR="00561AEE" w:rsidRPr="005E1CBD" w:rsidRDefault="00561AEE" w:rsidP="004418D4">
            <w:pPr>
              <w:ind w:left="-114" w:right="-11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</w:rPr>
              <w:t>МЗ.Е</w:t>
            </w:r>
          </w:p>
        </w:tc>
      </w:tr>
      <w:tr w:rsidR="00561AEE" w:rsidRPr="00561AEE" w:rsidTr="004418D4">
        <w:tc>
          <w:tcPr>
            <w:tcW w:w="1921" w:type="dxa"/>
            <w:vMerge w:val="restart"/>
            <w:vAlign w:val="center"/>
          </w:tcPr>
          <w:p w:rsidR="00561AEE" w:rsidRPr="00561AEE" w:rsidRDefault="00561AEE" w:rsidP="00046794">
            <w:pPr>
              <w:ind w:left="-120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b/>
                <w:sz w:val="24"/>
                <w:szCs w:val="24"/>
              </w:rPr>
              <w:t>Объекты на хранении</w:t>
            </w:r>
            <w:r w:rsidRPr="00561AEE">
              <w:rPr>
                <w:rFonts w:ascii="Times New Roman" w:hAnsi="Times New Roman"/>
                <w:sz w:val="24"/>
                <w:szCs w:val="24"/>
              </w:rPr>
              <w:t xml:space="preserve">          (</w:t>
            </w:r>
            <w:r w:rsidR="00046794">
              <w:rPr>
                <w:rFonts w:ascii="Times New Roman" w:hAnsi="Times New Roman"/>
                <w:sz w:val="24"/>
                <w:szCs w:val="24"/>
              </w:rPr>
              <w:t xml:space="preserve">счета учета: </w:t>
            </w:r>
            <w:r w:rsidRPr="00561AEE">
              <w:rPr>
                <w:rFonts w:ascii="Times New Roman" w:hAnsi="Times New Roman"/>
                <w:sz w:val="24"/>
                <w:szCs w:val="24"/>
              </w:rPr>
              <w:t xml:space="preserve">для основных средств 02.31, 02.21, 02.3; для материальных запасов 02.32, 02.4; </w:t>
            </w:r>
            <w:r w:rsidR="00046794">
              <w:rPr>
                <w:rFonts w:ascii="Times New Roman" w:hAnsi="Times New Roman"/>
                <w:sz w:val="24"/>
                <w:szCs w:val="24"/>
              </w:rPr>
              <w:t>имущество</w:t>
            </w:r>
            <w:r w:rsidR="005E1CBD">
              <w:rPr>
                <w:rFonts w:ascii="Times New Roman" w:hAnsi="Times New Roman"/>
                <w:sz w:val="24"/>
                <w:szCs w:val="24"/>
              </w:rPr>
              <w:t xml:space="preserve"> полученное в пользование</w:t>
            </w:r>
            <w:r w:rsidR="00046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AEE">
              <w:rPr>
                <w:rFonts w:ascii="Times New Roman" w:hAnsi="Times New Roman"/>
                <w:sz w:val="24"/>
                <w:szCs w:val="24"/>
              </w:rPr>
              <w:t>111.40)</w:t>
            </w:r>
          </w:p>
        </w:tc>
        <w:tc>
          <w:tcPr>
            <w:tcW w:w="3171" w:type="dxa"/>
            <w:vAlign w:val="center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хранение</w:t>
            </w:r>
          </w:p>
        </w:tc>
        <w:tc>
          <w:tcPr>
            <w:tcW w:w="958" w:type="dxa"/>
            <w:vAlign w:val="center"/>
          </w:tcPr>
          <w:p w:rsidR="00561AEE" w:rsidRPr="005E1CBD" w:rsidRDefault="00561AEE" w:rsidP="004418D4">
            <w:pPr>
              <w:ind w:left="-113" w:right="-1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МЦХ.1</w:t>
            </w:r>
          </w:p>
        </w:tc>
        <w:tc>
          <w:tcPr>
            <w:tcW w:w="2788" w:type="dxa"/>
            <w:vAlign w:val="center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продолжить хранение</w:t>
            </w:r>
          </w:p>
        </w:tc>
        <w:tc>
          <w:tcPr>
            <w:tcW w:w="1080" w:type="dxa"/>
            <w:vAlign w:val="center"/>
          </w:tcPr>
          <w:p w:rsidR="00561AEE" w:rsidRPr="005E1CBD" w:rsidRDefault="00561AEE" w:rsidP="004418D4">
            <w:pPr>
              <w:ind w:left="-114" w:right="-11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МЦХ.А</w:t>
            </w:r>
          </w:p>
        </w:tc>
      </w:tr>
      <w:tr w:rsidR="00561AEE" w:rsidRPr="00561AEE" w:rsidTr="004418D4">
        <w:tc>
          <w:tcPr>
            <w:tcW w:w="1921" w:type="dxa"/>
            <w:vMerge/>
            <w:vAlign w:val="center"/>
          </w:tcPr>
          <w:p w:rsidR="00561AEE" w:rsidRPr="00561AEE" w:rsidRDefault="00561AEE" w:rsidP="00561AEE">
            <w:pPr>
              <w:ind w:left="-120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vAlign w:val="center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списание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561AEE" w:rsidRPr="005E1CBD" w:rsidRDefault="00561AEE" w:rsidP="004418D4">
            <w:pPr>
              <w:ind w:left="-113" w:right="-1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МЦХ.2</w:t>
            </w:r>
          </w:p>
        </w:tc>
        <w:tc>
          <w:tcPr>
            <w:tcW w:w="2788" w:type="dxa"/>
            <w:vAlign w:val="center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утилизация</w:t>
            </w:r>
          </w:p>
        </w:tc>
        <w:tc>
          <w:tcPr>
            <w:tcW w:w="1080" w:type="dxa"/>
            <w:vAlign w:val="center"/>
          </w:tcPr>
          <w:p w:rsidR="00561AEE" w:rsidRPr="005E1CBD" w:rsidRDefault="00561AEE" w:rsidP="004418D4">
            <w:pPr>
              <w:ind w:left="-114" w:right="-11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МЦХ.Б</w:t>
            </w:r>
          </w:p>
        </w:tc>
      </w:tr>
      <w:tr w:rsidR="00561AEE" w:rsidRPr="00561AEE" w:rsidTr="004418D4">
        <w:tc>
          <w:tcPr>
            <w:tcW w:w="1921" w:type="dxa"/>
            <w:vMerge/>
            <w:tcBorders>
              <w:right w:val="single" w:sz="4" w:space="0" w:color="auto"/>
            </w:tcBorders>
            <w:vAlign w:val="center"/>
          </w:tcPr>
          <w:p w:rsidR="00561AEE" w:rsidRPr="00561AEE" w:rsidRDefault="00561AEE" w:rsidP="00561AEE">
            <w:pPr>
              <w:ind w:left="-120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перевод в состав основных средств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AEE" w:rsidRPr="005E1CBD" w:rsidRDefault="00561AEE" w:rsidP="004418D4">
            <w:pPr>
              <w:ind w:left="-113" w:right="-1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МЦХ.3</w:t>
            </w: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эксплуатация</w:t>
            </w:r>
          </w:p>
        </w:tc>
        <w:tc>
          <w:tcPr>
            <w:tcW w:w="1080" w:type="dxa"/>
            <w:vAlign w:val="center"/>
          </w:tcPr>
          <w:p w:rsidR="00561AEE" w:rsidRPr="005E1CBD" w:rsidRDefault="00561AEE" w:rsidP="004418D4">
            <w:pPr>
              <w:ind w:left="-114" w:right="-11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МЦХ.В</w:t>
            </w:r>
          </w:p>
        </w:tc>
      </w:tr>
      <w:tr w:rsidR="00561AEE" w:rsidRPr="00561AEE" w:rsidTr="004418D4">
        <w:tc>
          <w:tcPr>
            <w:tcW w:w="1921" w:type="dxa"/>
            <w:vMerge/>
            <w:tcBorders>
              <w:right w:val="single" w:sz="4" w:space="0" w:color="auto"/>
            </w:tcBorders>
            <w:vAlign w:val="center"/>
          </w:tcPr>
          <w:p w:rsidR="00561AEE" w:rsidRPr="00561AEE" w:rsidRDefault="00561AEE" w:rsidP="00561AEE">
            <w:pPr>
              <w:ind w:left="-120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AEE" w:rsidRPr="005E1CBD" w:rsidRDefault="00561AEE" w:rsidP="004418D4">
            <w:pPr>
              <w:ind w:left="-113" w:right="-1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передача заказчику</w:t>
            </w:r>
          </w:p>
        </w:tc>
        <w:tc>
          <w:tcPr>
            <w:tcW w:w="1080" w:type="dxa"/>
            <w:vAlign w:val="center"/>
          </w:tcPr>
          <w:p w:rsidR="00561AEE" w:rsidRPr="005E1CBD" w:rsidRDefault="00561AEE" w:rsidP="004418D4">
            <w:pPr>
              <w:ind w:left="-114" w:right="-11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МЦХ.Г</w:t>
            </w:r>
          </w:p>
        </w:tc>
      </w:tr>
      <w:tr w:rsidR="00561AEE" w:rsidRPr="00561AEE" w:rsidTr="004418D4">
        <w:tc>
          <w:tcPr>
            <w:tcW w:w="1921" w:type="dxa"/>
            <w:vMerge w:val="restart"/>
          </w:tcPr>
          <w:p w:rsidR="00561AEE" w:rsidRPr="00561AEE" w:rsidRDefault="00561AEE" w:rsidP="00561AEE">
            <w:pPr>
              <w:ind w:left="-120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b/>
                <w:sz w:val="24"/>
                <w:szCs w:val="24"/>
              </w:rPr>
              <w:t xml:space="preserve">Имущество, переданное в пользование    </w:t>
            </w:r>
            <w:r w:rsidRPr="00561AEE">
              <w:rPr>
                <w:rFonts w:ascii="Times New Roman" w:hAnsi="Times New Roman"/>
                <w:sz w:val="24"/>
                <w:szCs w:val="24"/>
              </w:rPr>
              <w:t>(счета учета 25, 26)</w:t>
            </w:r>
          </w:p>
        </w:tc>
        <w:tc>
          <w:tcPr>
            <w:tcW w:w="3171" w:type="dxa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передано в аренду/безвозмездное пользование</w:t>
            </w:r>
          </w:p>
        </w:tc>
        <w:tc>
          <w:tcPr>
            <w:tcW w:w="958" w:type="dxa"/>
          </w:tcPr>
          <w:p w:rsidR="00561AEE" w:rsidRPr="005E1CBD" w:rsidRDefault="00561AEE" w:rsidP="004418D4">
            <w:pPr>
              <w:ind w:left="-113" w:right="-1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</w:rPr>
              <w:t>ИП.1</w:t>
            </w:r>
          </w:p>
        </w:tc>
        <w:tc>
          <w:tcPr>
            <w:tcW w:w="2788" w:type="dxa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использование арендатором</w:t>
            </w:r>
          </w:p>
        </w:tc>
        <w:tc>
          <w:tcPr>
            <w:tcW w:w="1080" w:type="dxa"/>
          </w:tcPr>
          <w:p w:rsidR="00561AEE" w:rsidRPr="005E1CBD" w:rsidRDefault="00561AEE" w:rsidP="004418D4">
            <w:pPr>
              <w:ind w:left="-114" w:right="-11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ИП.А</w:t>
            </w:r>
          </w:p>
        </w:tc>
      </w:tr>
      <w:tr w:rsidR="00561AEE" w:rsidRPr="00561AEE" w:rsidTr="004418D4">
        <w:tc>
          <w:tcPr>
            <w:tcW w:w="1921" w:type="dxa"/>
            <w:vMerge/>
          </w:tcPr>
          <w:p w:rsidR="00561AEE" w:rsidRPr="00561AEE" w:rsidRDefault="00561AEE" w:rsidP="00561AEE">
            <w:pPr>
              <w:ind w:left="-120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возврат из аренды/безвозмездного пользования</w:t>
            </w:r>
          </w:p>
        </w:tc>
        <w:tc>
          <w:tcPr>
            <w:tcW w:w="958" w:type="dxa"/>
          </w:tcPr>
          <w:p w:rsidR="00561AEE" w:rsidRPr="005E1CBD" w:rsidRDefault="00561AEE" w:rsidP="004418D4">
            <w:pPr>
              <w:ind w:left="-113" w:right="-1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</w:rPr>
              <w:t>ИП.2</w:t>
            </w:r>
          </w:p>
        </w:tc>
        <w:tc>
          <w:tcPr>
            <w:tcW w:w="2788" w:type="dxa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завершение договора</w:t>
            </w:r>
          </w:p>
        </w:tc>
        <w:tc>
          <w:tcPr>
            <w:tcW w:w="1080" w:type="dxa"/>
          </w:tcPr>
          <w:p w:rsidR="00561AEE" w:rsidRPr="005E1CBD" w:rsidRDefault="00561AEE" w:rsidP="004418D4">
            <w:pPr>
              <w:ind w:left="-114" w:right="-11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ИП.Б</w:t>
            </w:r>
          </w:p>
        </w:tc>
      </w:tr>
      <w:tr w:rsidR="00561AEE" w:rsidRPr="00561AEE" w:rsidTr="004418D4">
        <w:tc>
          <w:tcPr>
            <w:tcW w:w="1921" w:type="dxa"/>
            <w:vMerge w:val="restart"/>
          </w:tcPr>
          <w:p w:rsidR="00561AEE" w:rsidRPr="00561AEE" w:rsidRDefault="00561AEE" w:rsidP="00561AEE">
            <w:pPr>
              <w:ind w:left="-120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b/>
                <w:sz w:val="24"/>
                <w:szCs w:val="24"/>
              </w:rPr>
              <w:t xml:space="preserve">Нематериальные активы             </w:t>
            </w:r>
            <w:r w:rsidRPr="00561AEE">
              <w:rPr>
                <w:rFonts w:ascii="Times New Roman" w:hAnsi="Times New Roman"/>
                <w:sz w:val="24"/>
                <w:szCs w:val="24"/>
              </w:rPr>
              <w:t>(счета учета 102, 111.60)</w:t>
            </w:r>
          </w:p>
        </w:tc>
        <w:tc>
          <w:tcPr>
            <w:tcW w:w="3171" w:type="dxa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в эксплуатации</w:t>
            </w:r>
          </w:p>
        </w:tc>
        <w:tc>
          <w:tcPr>
            <w:tcW w:w="958" w:type="dxa"/>
          </w:tcPr>
          <w:p w:rsidR="00561AEE" w:rsidRPr="005E1CBD" w:rsidRDefault="00561AEE" w:rsidP="004418D4">
            <w:pPr>
              <w:ind w:left="-113" w:right="-1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</w:rPr>
              <w:t>НМА.1</w:t>
            </w:r>
          </w:p>
        </w:tc>
        <w:tc>
          <w:tcPr>
            <w:tcW w:w="2788" w:type="dxa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продолжить эксплуатацию</w:t>
            </w:r>
          </w:p>
        </w:tc>
        <w:tc>
          <w:tcPr>
            <w:tcW w:w="1080" w:type="dxa"/>
          </w:tcPr>
          <w:p w:rsidR="00561AEE" w:rsidRPr="005E1CBD" w:rsidRDefault="00561AEE" w:rsidP="004418D4">
            <w:pPr>
              <w:ind w:left="-114" w:right="-11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НМА.А</w:t>
            </w:r>
          </w:p>
        </w:tc>
      </w:tr>
      <w:tr w:rsidR="00561AEE" w:rsidRPr="00561AEE" w:rsidTr="004418D4">
        <w:tc>
          <w:tcPr>
            <w:tcW w:w="1921" w:type="dxa"/>
            <w:vMerge/>
          </w:tcPr>
          <w:p w:rsidR="00561AEE" w:rsidRPr="00561AEE" w:rsidRDefault="00561AEE" w:rsidP="00561AEE">
            <w:pPr>
              <w:ind w:left="-120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переход в общественное достояние</w:t>
            </w:r>
          </w:p>
        </w:tc>
        <w:tc>
          <w:tcPr>
            <w:tcW w:w="958" w:type="dxa"/>
          </w:tcPr>
          <w:p w:rsidR="00561AEE" w:rsidRPr="005E1CBD" w:rsidRDefault="00561AEE" w:rsidP="004418D4">
            <w:pPr>
              <w:ind w:left="-113" w:right="-1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НМА.2</w:t>
            </w:r>
          </w:p>
        </w:tc>
        <w:tc>
          <w:tcPr>
            <w:tcW w:w="2788" w:type="dxa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продление/обновление прав пользования нематериальными активами</w:t>
            </w:r>
          </w:p>
        </w:tc>
        <w:tc>
          <w:tcPr>
            <w:tcW w:w="1080" w:type="dxa"/>
          </w:tcPr>
          <w:p w:rsidR="00561AEE" w:rsidRPr="005E1CBD" w:rsidRDefault="00561AEE" w:rsidP="004418D4">
            <w:pPr>
              <w:ind w:left="-114" w:right="-11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НМА.Б</w:t>
            </w:r>
          </w:p>
        </w:tc>
      </w:tr>
      <w:tr w:rsidR="00561AEE" w:rsidRPr="00561AEE" w:rsidTr="004418D4">
        <w:tc>
          <w:tcPr>
            <w:tcW w:w="1921" w:type="dxa"/>
            <w:vMerge/>
          </w:tcPr>
          <w:p w:rsidR="00561AEE" w:rsidRPr="00561AEE" w:rsidRDefault="00561AEE" w:rsidP="00561AEE">
            <w:pPr>
              <w:ind w:left="-120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окончание срока действия неисключительной лицензии</w:t>
            </w:r>
          </w:p>
        </w:tc>
        <w:tc>
          <w:tcPr>
            <w:tcW w:w="958" w:type="dxa"/>
          </w:tcPr>
          <w:p w:rsidR="00561AEE" w:rsidRPr="005E1CBD" w:rsidRDefault="00561AEE" w:rsidP="004418D4">
            <w:pPr>
              <w:ind w:left="-113" w:right="-1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НМА.3</w:t>
            </w:r>
          </w:p>
        </w:tc>
        <w:tc>
          <w:tcPr>
            <w:tcW w:w="2788" w:type="dxa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списание</w:t>
            </w:r>
          </w:p>
        </w:tc>
        <w:tc>
          <w:tcPr>
            <w:tcW w:w="1080" w:type="dxa"/>
          </w:tcPr>
          <w:p w:rsidR="00561AEE" w:rsidRPr="005E1CBD" w:rsidRDefault="00561AEE" w:rsidP="004418D4">
            <w:pPr>
              <w:ind w:left="-114" w:right="-11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НМА.В</w:t>
            </w:r>
          </w:p>
        </w:tc>
      </w:tr>
      <w:tr w:rsidR="00561AEE" w:rsidRPr="00561AEE" w:rsidTr="004418D4">
        <w:tc>
          <w:tcPr>
            <w:tcW w:w="1921" w:type="dxa"/>
            <w:vMerge w:val="restart"/>
          </w:tcPr>
          <w:p w:rsidR="00561AEE" w:rsidRDefault="00561AEE" w:rsidP="00561AEE">
            <w:pPr>
              <w:ind w:left="-120" w:right="-10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AEE">
              <w:rPr>
                <w:rFonts w:ascii="Times New Roman" w:hAnsi="Times New Roman"/>
                <w:b/>
                <w:sz w:val="24"/>
                <w:szCs w:val="24"/>
              </w:rPr>
              <w:t>Объекты капитальных вложений</w:t>
            </w:r>
          </w:p>
          <w:p w:rsidR="00561AEE" w:rsidRPr="00561AEE" w:rsidRDefault="00561AEE" w:rsidP="00561AEE">
            <w:pPr>
              <w:ind w:left="-120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(счет учета 106)</w:t>
            </w:r>
          </w:p>
        </w:tc>
        <w:tc>
          <w:tcPr>
            <w:tcW w:w="3171" w:type="dxa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в процессе формирования первоначальной стоимости/работы продолжаются</w:t>
            </w:r>
          </w:p>
        </w:tc>
        <w:tc>
          <w:tcPr>
            <w:tcW w:w="958" w:type="dxa"/>
          </w:tcPr>
          <w:p w:rsidR="00561AEE" w:rsidRPr="005E1CBD" w:rsidRDefault="00561AEE" w:rsidP="004418D4">
            <w:pPr>
              <w:ind w:left="-113" w:right="-1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</w:rPr>
              <w:t>КВ.1</w:t>
            </w:r>
          </w:p>
        </w:tc>
        <w:tc>
          <w:tcPr>
            <w:tcW w:w="2788" w:type="dxa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принять к учету законченный объект капитальных вложений</w:t>
            </w:r>
          </w:p>
        </w:tc>
        <w:tc>
          <w:tcPr>
            <w:tcW w:w="1080" w:type="dxa"/>
          </w:tcPr>
          <w:p w:rsidR="00561AEE" w:rsidRPr="005E1CBD" w:rsidRDefault="00561AEE" w:rsidP="004418D4">
            <w:pPr>
              <w:ind w:left="-114" w:right="-11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КВ.А</w:t>
            </w:r>
          </w:p>
        </w:tc>
      </w:tr>
      <w:tr w:rsidR="00561AEE" w:rsidRPr="00561AEE" w:rsidTr="004418D4">
        <w:tc>
          <w:tcPr>
            <w:tcW w:w="1921" w:type="dxa"/>
            <w:vMerge/>
          </w:tcPr>
          <w:p w:rsidR="00561AEE" w:rsidRPr="00561AEE" w:rsidRDefault="00561AEE" w:rsidP="004418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формирование первоначальной стоимости </w:t>
            </w: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завершено/работы завершены</w:t>
            </w:r>
          </w:p>
        </w:tc>
        <w:tc>
          <w:tcPr>
            <w:tcW w:w="958" w:type="dxa"/>
          </w:tcPr>
          <w:p w:rsidR="00561AEE" w:rsidRPr="005E1CBD" w:rsidRDefault="00561AEE" w:rsidP="004418D4">
            <w:pPr>
              <w:ind w:left="-113" w:right="-1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КВ.2</w:t>
            </w:r>
          </w:p>
        </w:tc>
        <w:tc>
          <w:tcPr>
            <w:tcW w:w="2788" w:type="dxa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продолжить формирование первоначальной </w:t>
            </w: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стоимости объекта/продолжить работы</w:t>
            </w:r>
          </w:p>
        </w:tc>
        <w:tc>
          <w:tcPr>
            <w:tcW w:w="1080" w:type="dxa"/>
          </w:tcPr>
          <w:p w:rsidR="00561AEE" w:rsidRPr="005E1CBD" w:rsidRDefault="00561AEE" w:rsidP="004418D4">
            <w:pPr>
              <w:ind w:left="-114" w:right="-11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КВ.Б</w:t>
            </w:r>
          </w:p>
        </w:tc>
      </w:tr>
      <w:tr w:rsidR="00561AEE" w:rsidRPr="00561AEE" w:rsidTr="004418D4">
        <w:tc>
          <w:tcPr>
            <w:tcW w:w="1921" w:type="dxa"/>
            <w:vMerge/>
          </w:tcPr>
          <w:p w:rsidR="00561AEE" w:rsidRPr="00561AEE" w:rsidRDefault="00561AEE" w:rsidP="004418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первоначальной стоимости приостановлено/работы приостановлены (прекращены)</w:t>
            </w:r>
          </w:p>
        </w:tc>
        <w:tc>
          <w:tcPr>
            <w:tcW w:w="958" w:type="dxa"/>
          </w:tcPr>
          <w:p w:rsidR="00561AEE" w:rsidRPr="005E1CBD" w:rsidRDefault="00561AEE" w:rsidP="004418D4">
            <w:pPr>
              <w:ind w:left="-113" w:right="-11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</w:rPr>
              <w:t>КВ.3</w:t>
            </w:r>
          </w:p>
        </w:tc>
        <w:tc>
          <w:tcPr>
            <w:tcW w:w="2788" w:type="dxa"/>
          </w:tcPr>
          <w:p w:rsidR="00561AEE" w:rsidRPr="00561AEE" w:rsidRDefault="00561AEE" w:rsidP="004418D4">
            <w:pPr>
              <w:ind w:left="-76" w:right="-5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1AEE">
              <w:rPr>
                <w:rFonts w:ascii="Times New Roman" w:hAnsi="Times New Roman"/>
                <w:sz w:val="24"/>
                <w:szCs w:val="24"/>
                <w:lang w:eastAsia="ar-SA"/>
              </w:rPr>
              <w:t>списание</w:t>
            </w:r>
          </w:p>
        </w:tc>
        <w:tc>
          <w:tcPr>
            <w:tcW w:w="1080" w:type="dxa"/>
          </w:tcPr>
          <w:p w:rsidR="00561AEE" w:rsidRPr="005E1CBD" w:rsidRDefault="00561AEE" w:rsidP="004418D4">
            <w:pPr>
              <w:ind w:left="-114" w:right="-11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E1CB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КВ.В</w:t>
            </w:r>
          </w:p>
        </w:tc>
      </w:tr>
    </w:tbl>
    <w:p w:rsidR="00C73D03" w:rsidRPr="00561AEE" w:rsidRDefault="00C73D03" w:rsidP="00561AEE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C73D03" w:rsidRPr="00561AEE" w:rsidSect="000E5B0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44816"/>
    <w:multiLevelType w:val="hybridMultilevel"/>
    <w:tmpl w:val="2F148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6668B"/>
    <w:multiLevelType w:val="multilevel"/>
    <w:tmpl w:val="61544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0609F9"/>
    <w:multiLevelType w:val="hybridMultilevel"/>
    <w:tmpl w:val="A4968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37480"/>
    <w:multiLevelType w:val="hybridMultilevel"/>
    <w:tmpl w:val="35B0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C5158"/>
    <w:multiLevelType w:val="hybridMultilevel"/>
    <w:tmpl w:val="B2587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E4C81"/>
    <w:multiLevelType w:val="hybridMultilevel"/>
    <w:tmpl w:val="641AA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0E748C6"/>
    <w:multiLevelType w:val="hybridMultilevel"/>
    <w:tmpl w:val="3D648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7804F0"/>
    <w:multiLevelType w:val="hybridMultilevel"/>
    <w:tmpl w:val="2C1A6C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687DCA"/>
    <w:multiLevelType w:val="multilevel"/>
    <w:tmpl w:val="847AD516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5D6231CB"/>
    <w:multiLevelType w:val="multilevel"/>
    <w:tmpl w:val="EC726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1FE0CC5"/>
    <w:multiLevelType w:val="multilevel"/>
    <w:tmpl w:val="61544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E3065CC"/>
    <w:multiLevelType w:val="multilevel"/>
    <w:tmpl w:val="2FA2D2E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7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8A"/>
    <w:rsid w:val="00046794"/>
    <w:rsid w:val="000A2381"/>
    <w:rsid w:val="000C2E65"/>
    <w:rsid w:val="000E5B01"/>
    <w:rsid w:val="00134776"/>
    <w:rsid w:val="0013508E"/>
    <w:rsid w:val="001436E1"/>
    <w:rsid w:val="001B79B3"/>
    <w:rsid w:val="001C57EB"/>
    <w:rsid w:val="001F747A"/>
    <w:rsid w:val="002209E8"/>
    <w:rsid w:val="00231F31"/>
    <w:rsid w:val="002373D8"/>
    <w:rsid w:val="00243482"/>
    <w:rsid w:val="002470D2"/>
    <w:rsid w:val="00256CCC"/>
    <w:rsid w:val="002720F7"/>
    <w:rsid w:val="00272DB5"/>
    <w:rsid w:val="00275818"/>
    <w:rsid w:val="00292BD4"/>
    <w:rsid w:val="002A0519"/>
    <w:rsid w:val="002C5E4D"/>
    <w:rsid w:val="003037C2"/>
    <w:rsid w:val="00350EA6"/>
    <w:rsid w:val="00367A2C"/>
    <w:rsid w:val="00392280"/>
    <w:rsid w:val="003A6BDA"/>
    <w:rsid w:val="003F558A"/>
    <w:rsid w:val="00403D92"/>
    <w:rsid w:val="00434E97"/>
    <w:rsid w:val="004351F7"/>
    <w:rsid w:val="00437A9F"/>
    <w:rsid w:val="0048795B"/>
    <w:rsid w:val="004F6CB6"/>
    <w:rsid w:val="00523A4B"/>
    <w:rsid w:val="0052565B"/>
    <w:rsid w:val="00560E08"/>
    <w:rsid w:val="00561AEE"/>
    <w:rsid w:val="00566DE9"/>
    <w:rsid w:val="005E1CBD"/>
    <w:rsid w:val="005F3EB8"/>
    <w:rsid w:val="006C5C84"/>
    <w:rsid w:val="006F6089"/>
    <w:rsid w:val="00726233"/>
    <w:rsid w:val="00740421"/>
    <w:rsid w:val="00764626"/>
    <w:rsid w:val="00783393"/>
    <w:rsid w:val="00791C70"/>
    <w:rsid w:val="007D3A1B"/>
    <w:rsid w:val="007E3539"/>
    <w:rsid w:val="0080477B"/>
    <w:rsid w:val="00820561"/>
    <w:rsid w:val="00827F0E"/>
    <w:rsid w:val="008B4F36"/>
    <w:rsid w:val="008D6B55"/>
    <w:rsid w:val="008E09C7"/>
    <w:rsid w:val="00941FDE"/>
    <w:rsid w:val="00946B75"/>
    <w:rsid w:val="00974250"/>
    <w:rsid w:val="009F08D7"/>
    <w:rsid w:val="00A15C2E"/>
    <w:rsid w:val="00A164C1"/>
    <w:rsid w:val="00AD064B"/>
    <w:rsid w:val="00AD2AAD"/>
    <w:rsid w:val="00BA3654"/>
    <w:rsid w:val="00BA5B85"/>
    <w:rsid w:val="00C12C35"/>
    <w:rsid w:val="00C32650"/>
    <w:rsid w:val="00C63B21"/>
    <w:rsid w:val="00C73D03"/>
    <w:rsid w:val="00C97795"/>
    <w:rsid w:val="00CA7240"/>
    <w:rsid w:val="00CD2832"/>
    <w:rsid w:val="00CF0699"/>
    <w:rsid w:val="00D005EE"/>
    <w:rsid w:val="00D44C4E"/>
    <w:rsid w:val="00D56AE9"/>
    <w:rsid w:val="00D576D8"/>
    <w:rsid w:val="00D8375D"/>
    <w:rsid w:val="00D924D5"/>
    <w:rsid w:val="00E54D73"/>
    <w:rsid w:val="00EB3AC0"/>
    <w:rsid w:val="00EB5D19"/>
    <w:rsid w:val="00EE4DE8"/>
    <w:rsid w:val="00F14605"/>
    <w:rsid w:val="00F42604"/>
    <w:rsid w:val="00F477A7"/>
    <w:rsid w:val="00F831C7"/>
    <w:rsid w:val="00F91433"/>
    <w:rsid w:val="00FA6330"/>
    <w:rsid w:val="00FE3057"/>
    <w:rsid w:val="00FE337D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1E18"/>
  <w15:chartTrackingRefBased/>
  <w15:docId w15:val="{319A8BED-367C-4B84-818F-761BBB6F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2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CB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A3654"/>
    <w:rPr>
      <w:color w:val="0563C1" w:themeColor="hyperlink"/>
      <w:u w:val="single"/>
    </w:rPr>
  </w:style>
  <w:style w:type="table" w:customStyle="1" w:styleId="38">
    <w:name w:val="Сетка таблицы38"/>
    <w:basedOn w:val="a1"/>
    <w:next w:val="a7"/>
    <w:uiPriority w:val="39"/>
    <w:locked/>
    <w:rsid w:val="00561A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6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.spbstu.ru/obshie_polozgheniy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m.dep@spbst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l.spbstu.ru/" TargetMode="External"/><Relationship Id="rId11" Type="http://schemas.openxmlformats.org/officeDocument/2006/relationships/hyperlink" Target="mailto:pm.dep@spbst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l.spbstu.ru/pamyatki_po_uchetu_spisaniu_i_provedeniu_inventarizacii_imushestva_universite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.spbs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DCB49-FA4F-45FF-8340-4AFB903C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6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Евгения Андреевна</dc:creator>
  <cp:keywords/>
  <dc:description/>
  <cp:lastModifiedBy>Васильева Евгения Андреевна</cp:lastModifiedBy>
  <cp:revision>21</cp:revision>
  <cp:lastPrinted>2017-11-27T14:25:00Z</cp:lastPrinted>
  <dcterms:created xsi:type="dcterms:W3CDTF">2024-03-05T08:11:00Z</dcterms:created>
  <dcterms:modified xsi:type="dcterms:W3CDTF">2024-07-25T12:03:00Z</dcterms:modified>
</cp:coreProperties>
</file>