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F8" w:rsidRDefault="00490F05" w:rsidP="00490F05">
      <w:pPr>
        <w:ind w:firstLine="680"/>
        <w:jc w:val="center"/>
        <w:rPr>
          <w:b/>
        </w:rPr>
      </w:pPr>
      <w:r w:rsidRPr="00490F05">
        <w:rPr>
          <w:b/>
        </w:rPr>
        <w:t>Соглашения о предоставлении субсидии: 14.575.21.0146</w:t>
      </w:r>
    </w:p>
    <w:p w:rsidR="00F73FAC" w:rsidRPr="00490F05" w:rsidRDefault="00F73FAC" w:rsidP="00490F05">
      <w:pPr>
        <w:ind w:firstLine="680"/>
        <w:jc w:val="center"/>
        <w:rPr>
          <w:b/>
        </w:rPr>
      </w:pPr>
      <w:r w:rsidRPr="00F73FAC">
        <w:rPr>
          <w:b/>
        </w:rPr>
        <w:t>RFMEFI57517X0146</w:t>
      </w:r>
      <w:bookmarkStart w:id="0" w:name="_GoBack"/>
      <w:bookmarkEnd w:id="0"/>
    </w:p>
    <w:p w:rsidR="00490F05" w:rsidRDefault="00490F05" w:rsidP="00490F05">
      <w:pPr>
        <w:ind w:firstLine="680"/>
      </w:pPr>
    </w:p>
    <w:p w:rsidR="00490F05" w:rsidRDefault="00490F05" w:rsidP="00490F05">
      <w:pPr>
        <w:ind w:firstLine="680"/>
      </w:pPr>
      <w:r w:rsidRPr="00490F05">
        <w:rPr>
          <w:b/>
        </w:rPr>
        <w:t>Тема:</w:t>
      </w:r>
      <w:r>
        <w:t xml:space="preserve"> «Разработка прикладных программных сре</w:t>
      </w:r>
      <w:proofErr w:type="gramStart"/>
      <w:r>
        <w:t>дств дл</w:t>
      </w:r>
      <w:proofErr w:type="gramEnd"/>
      <w:r>
        <w:t xml:space="preserve">я планирования и контроля операции гидравлического разрыва пласта с целью повышения эффективности </w:t>
      </w:r>
      <w:proofErr w:type="spellStart"/>
      <w:r>
        <w:t>нефтегазодобычи</w:t>
      </w:r>
      <w:proofErr w:type="spellEnd"/>
      <w:r>
        <w:t>»</w:t>
      </w:r>
      <w:r>
        <w:t>.</w:t>
      </w:r>
    </w:p>
    <w:p w:rsidR="00490F05" w:rsidRDefault="00490F05" w:rsidP="00490F05">
      <w:pPr>
        <w:ind w:firstLine="680"/>
      </w:pPr>
    </w:p>
    <w:p w:rsidR="00490F05" w:rsidRDefault="00490F05" w:rsidP="00490F05">
      <w:pPr>
        <w:ind w:firstLine="680"/>
      </w:pPr>
      <w:r w:rsidRPr="00490F05">
        <w:rPr>
          <w:b/>
        </w:rPr>
        <w:t>Приоритетное направление:</w:t>
      </w:r>
      <w:r>
        <w:t xml:space="preserve"> Рациональное природопользование (РП)</w:t>
      </w:r>
      <w:r>
        <w:t>.</w:t>
      </w:r>
    </w:p>
    <w:p w:rsidR="00490F05" w:rsidRDefault="00490F05" w:rsidP="00490F05">
      <w:pPr>
        <w:ind w:firstLine="680"/>
      </w:pPr>
    </w:p>
    <w:p w:rsidR="00490F05" w:rsidRDefault="00490F05" w:rsidP="00490F05">
      <w:pPr>
        <w:ind w:firstLine="680"/>
      </w:pPr>
      <w:r w:rsidRPr="00490F05">
        <w:rPr>
          <w:b/>
        </w:rPr>
        <w:t xml:space="preserve">Критическая технология: </w:t>
      </w:r>
      <w:r>
        <w:t>Технологии поиска, разведки, разработки месторождений полезных ископаемых и их добычи</w:t>
      </w:r>
      <w:r>
        <w:t>.</w:t>
      </w:r>
    </w:p>
    <w:p w:rsidR="00490F05" w:rsidRDefault="00490F05" w:rsidP="00490F05">
      <w:pPr>
        <w:ind w:firstLine="680"/>
      </w:pPr>
    </w:p>
    <w:p w:rsidR="00490F05" w:rsidRDefault="00490F05" w:rsidP="00490F05">
      <w:pPr>
        <w:ind w:firstLine="680"/>
      </w:pPr>
      <w:r w:rsidRPr="00490F05">
        <w:rPr>
          <w:b/>
        </w:rPr>
        <w:t>Индустриальный партнер:</w:t>
      </w:r>
      <w:r>
        <w:t xml:space="preserve"> Общество с ограниченной ответственностью "</w:t>
      </w:r>
      <w:proofErr w:type="spellStart"/>
      <w:r>
        <w:t>Газпромнефть</w:t>
      </w:r>
      <w:proofErr w:type="spellEnd"/>
      <w:r>
        <w:t xml:space="preserve"> Научно-Технический Центр"</w:t>
      </w:r>
    </w:p>
    <w:p w:rsidR="00490F05" w:rsidRDefault="00490F05" w:rsidP="00490F05">
      <w:pPr>
        <w:ind w:firstLine="680"/>
      </w:pPr>
    </w:p>
    <w:p w:rsidR="00490F05" w:rsidRDefault="00490F05" w:rsidP="00490F05">
      <w:pPr>
        <w:ind w:firstLine="680"/>
      </w:pPr>
    </w:p>
    <w:p w:rsidR="00490F05" w:rsidRPr="00490F05" w:rsidRDefault="00490F05" w:rsidP="00490F05">
      <w:pPr>
        <w:ind w:firstLine="680"/>
        <w:rPr>
          <w:b/>
        </w:rPr>
      </w:pPr>
      <w:r w:rsidRPr="00490F05">
        <w:rPr>
          <w:b/>
        </w:rPr>
        <w:t>Цель проекта</w:t>
      </w:r>
      <w:r w:rsidRPr="00490F05">
        <w:rPr>
          <w:b/>
        </w:rPr>
        <w:t>:</w:t>
      </w:r>
    </w:p>
    <w:p w:rsidR="00490F05" w:rsidRDefault="00490F05" w:rsidP="00490F05">
      <w:pPr>
        <w:ind w:firstLine="680"/>
      </w:pPr>
      <w:r>
        <w:t xml:space="preserve">1) Развитие физико-математических методов и подходов для описания процессов при </w:t>
      </w:r>
      <w:proofErr w:type="gramStart"/>
      <w:r>
        <w:t>одиночном</w:t>
      </w:r>
      <w:proofErr w:type="gramEnd"/>
      <w:r>
        <w:t xml:space="preserve"> и многостадийном </w:t>
      </w:r>
      <w:proofErr w:type="spellStart"/>
      <w:r>
        <w:t>гидроразыве</w:t>
      </w:r>
      <w:proofErr w:type="spellEnd"/>
      <w:r>
        <w:t xml:space="preserve"> пласта. </w:t>
      </w:r>
    </w:p>
    <w:p w:rsidR="00490F05" w:rsidRDefault="00490F05" w:rsidP="00490F05">
      <w:pPr>
        <w:ind w:firstLine="680"/>
      </w:pPr>
      <w:r>
        <w:t xml:space="preserve">2) Разработка отечественных прикладных программных модулей для моделирования гидравлического разрыва пласта с использованием персональных компьютеров и </w:t>
      </w:r>
      <w:proofErr w:type="spellStart"/>
      <w:r>
        <w:t>супер-ЭВМ</w:t>
      </w:r>
      <w:proofErr w:type="spellEnd"/>
      <w:r>
        <w:t xml:space="preserve">. </w:t>
      </w:r>
    </w:p>
    <w:p w:rsidR="00490F05" w:rsidRDefault="00490F05" w:rsidP="00490F05">
      <w:pPr>
        <w:ind w:firstLine="680"/>
      </w:pPr>
      <w:r>
        <w:t xml:space="preserve">3) Адаптация программных модулей для моделирования операции </w:t>
      </w:r>
      <w:proofErr w:type="spellStart"/>
      <w:r>
        <w:t>гидроразрыва</w:t>
      </w:r>
      <w:proofErr w:type="spellEnd"/>
      <w:r>
        <w:t xml:space="preserve"> </w:t>
      </w:r>
      <w:proofErr w:type="gramStart"/>
      <w:r>
        <w:t>пласта</w:t>
      </w:r>
      <w:proofErr w:type="gramEnd"/>
      <w:r>
        <w:t xml:space="preserve"> как на персональных компьютерах, так и на многопроцессорных вычислительных системах.</w:t>
      </w:r>
    </w:p>
    <w:p w:rsidR="00490F05" w:rsidRDefault="00490F05" w:rsidP="00490F05">
      <w:pPr>
        <w:ind w:firstLine="680"/>
      </w:pPr>
    </w:p>
    <w:p w:rsidR="00490F05" w:rsidRPr="00490F05" w:rsidRDefault="00490F05" w:rsidP="00490F05">
      <w:pPr>
        <w:ind w:firstLine="680"/>
        <w:rPr>
          <w:b/>
        </w:rPr>
      </w:pPr>
      <w:r w:rsidRPr="00490F05">
        <w:rPr>
          <w:b/>
        </w:rPr>
        <w:t xml:space="preserve">В результате выполнения работ по проекту на первом этапе: </w:t>
      </w:r>
    </w:p>
    <w:p w:rsidR="00490F05" w:rsidRDefault="00490F05" w:rsidP="00490F05">
      <w:pPr>
        <w:ind w:firstLine="680"/>
      </w:pPr>
      <w:r>
        <w:t xml:space="preserve">1. проведен аналитический обзор научно-технической литературы и патентные исследования в соответствии с ГОСТ </w:t>
      </w:r>
      <w:proofErr w:type="gramStart"/>
      <w:r>
        <w:t>Р</w:t>
      </w:r>
      <w:proofErr w:type="gramEnd"/>
      <w:r>
        <w:t xml:space="preserve"> 15.011- 96 по теме «Программы моделирования распространения трещины ГРП». </w:t>
      </w:r>
    </w:p>
    <w:p w:rsidR="00490F05" w:rsidRDefault="00490F05" w:rsidP="00490F05">
      <w:pPr>
        <w:ind w:firstLine="680"/>
      </w:pPr>
      <w:r>
        <w:t xml:space="preserve">2. Разработаны 4 математические модели: </w:t>
      </w:r>
    </w:p>
    <w:p w:rsidR="00490F05" w:rsidRDefault="00490F05" w:rsidP="00490F05">
      <w:pPr>
        <w:ind w:firstLine="680"/>
      </w:pPr>
      <w:r>
        <w:t xml:space="preserve">- Физико-математическая полная трехмерная модель ГРП на основе метода динамики частиц с учетом слоистости пласта. Разрабатываемая физико-математическая модель основывается на описании движения точечных масс (частиц), взаимодействующих между собой посредством сил упругого взаимодействия. Кроме сил упругого взаимодействия учитывается давление со стороны жидкости, заполняющей трещины, а также давление со стороны жидкости, просачивающейся в поры материала. </w:t>
      </w:r>
    </w:p>
    <w:p w:rsidR="00490F05" w:rsidRDefault="00490F05" w:rsidP="00490F05">
      <w:pPr>
        <w:ind w:firstLine="680"/>
      </w:pPr>
      <w:r>
        <w:t xml:space="preserve">- Физико-математическая модель финальной формы трещины после остановки закачки. Разработанная модель описывает динамику трехкомпонентной среды, состоящей из горной породы, жидкости – </w:t>
      </w:r>
      <w:proofErr w:type="spellStart"/>
      <w:r>
        <w:t>проппантоносителя</w:t>
      </w:r>
      <w:proofErr w:type="spellEnd"/>
      <w:r>
        <w:t xml:space="preserve"> и </w:t>
      </w:r>
      <w:proofErr w:type="spellStart"/>
      <w:r>
        <w:t>проппанта</w:t>
      </w:r>
      <w:proofErr w:type="spellEnd"/>
      <w:r>
        <w:t xml:space="preserve">. </w:t>
      </w:r>
      <w:proofErr w:type="gramStart"/>
      <w:r>
        <w:t xml:space="preserve">Модель позволяет определить: 1) </w:t>
      </w:r>
      <w:r>
        <w:lastRenderedPageBreak/>
        <w:t xml:space="preserve">напряженно-деформированное состояние горной породы вблизи трещины; 2) возможность или невозможность дальнейшего роста трещины; 3) финальную форму трещины, при условии, что рассматривается только процесс закрытия трещины; 4) пористость, средний размер пор и проницаемость деформированной горной породы вблизи трещины; 5) распределение </w:t>
      </w:r>
      <w:proofErr w:type="spellStart"/>
      <w:r>
        <w:t>проппанта</w:t>
      </w:r>
      <w:proofErr w:type="spellEnd"/>
      <w:r>
        <w:t xml:space="preserve"> в трещине и его проницаемость; 6) наличие или отсутствие </w:t>
      </w:r>
      <w:proofErr w:type="spellStart"/>
      <w:r>
        <w:t>перепродавки</w:t>
      </w:r>
      <w:proofErr w:type="spellEnd"/>
      <w:r>
        <w:t xml:space="preserve"> </w:t>
      </w:r>
      <w:proofErr w:type="spellStart"/>
      <w:r>
        <w:t>проппанта</w:t>
      </w:r>
      <w:proofErr w:type="spellEnd"/>
      <w:r>
        <w:t xml:space="preserve">. </w:t>
      </w:r>
      <w:proofErr w:type="gramEnd"/>
    </w:p>
    <w:p w:rsidR="00490F05" w:rsidRDefault="00490F05" w:rsidP="00490F05">
      <w:pPr>
        <w:ind w:firstLine="680"/>
      </w:pPr>
      <w:r>
        <w:t xml:space="preserve">- Физико-математическая модель трещины ГРП, основанная на модифицированной постановке задачи о </w:t>
      </w:r>
      <w:proofErr w:type="spellStart"/>
      <w:r>
        <w:t>гидроразрыве</w:t>
      </w:r>
      <w:proofErr w:type="spellEnd"/>
      <w:r>
        <w:t xml:space="preserve">, с учетом слоистости пласта с использованием функции Грина для слоистой среды. Модель основана на оригинальном подходе к построению функции Грина. Модель описывает распространение трещины </w:t>
      </w:r>
      <w:proofErr w:type="spellStart"/>
      <w:r>
        <w:t>гидроразрыва</w:t>
      </w:r>
      <w:proofErr w:type="spellEnd"/>
      <w:r>
        <w:t xml:space="preserve"> под действием неньютоновской 1 несжимаемой жидкости в упругой среде. </w:t>
      </w:r>
    </w:p>
    <w:p w:rsidR="00490F05" w:rsidRDefault="00490F05" w:rsidP="00490F05">
      <w:pPr>
        <w:ind w:firstLine="680"/>
      </w:pPr>
      <w:r>
        <w:t xml:space="preserve">- Физико-математическая модель микросейсмических событий при распространении трещины ГРП. Представленная модель позволяет учитывать хрупкость породы, различать устойчивые и неустойчивые состояния, оценивать энергию микросейсмических событий, а также определять тип события (сейсмическое или асейсмическое) и рассчитывать его основные характеристики. </w:t>
      </w:r>
    </w:p>
    <w:p w:rsidR="00490F05" w:rsidRDefault="00490F05" w:rsidP="00490F05">
      <w:pPr>
        <w:ind w:firstLine="680"/>
      </w:pPr>
      <w:r>
        <w:t xml:space="preserve">3. Разработано 2 алгоритма и 4 компьютерные программы для моделирования ГРП: </w:t>
      </w:r>
    </w:p>
    <w:p w:rsidR="00490F05" w:rsidRDefault="00490F05" w:rsidP="00490F05">
      <w:pPr>
        <w:ind w:firstLine="680"/>
      </w:pPr>
      <w:r>
        <w:t xml:space="preserve">- Алгоритм нахождения функции Грина для уравнения Лапласа для построения модели слоистой среды. Исследованы ключевые особенности разработанного алгоритма и представлены подходы к определению точности построения функции Грина для слоистых структур. </w:t>
      </w:r>
    </w:p>
    <w:p w:rsidR="00490F05" w:rsidRDefault="00490F05" w:rsidP="00490F05">
      <w:pPr>
        <w:ind w:firstLine="680"/>
      </w:pPr>
      <w:r>
        <w:t xml:space="preserve">- Программа расчета статической формы трещины заданного объема в трехслойной среде. Программа может производить поиск контура равновесной трещины заданного объема, а также выводить графическую интерпретацию полученной трещины. </w:t>
      </w:r>
    </w:p>
    <w:p w:rsidR="00490F05" w:rsidRDefault="00490F05" w:rsidP="00490F05">
      <w:pPr>
        <w:ind w:firstLine="680"/>
      </w:pPr>
      <w:r>
        <w:t xml:space="preserve">- Программа расчета скорости роста </w:t>
      </w:r>
      <w:proofErr w:type="spellStart"/>
      <w:r>
        <w:t>квазитрехмерной</w:t>
      </w:r>
      <w:proofErr w:type="spellEnd"/>
      <w:r>
        <w:t xml:space="preserve"> трещины ГРП в высоту в режиме доминирующей вязкости. Результаты работы программы позволяют уточнить расчет скорости роста трещины в высоту в </w:t>
      </w:r>
      <w:proofErr w:type="spellStart"/>
      <w:r>
        <w:t>квазитрехмерной</w:t>
      </w:r>
      <w:proofErr w:type="spellEnd"/>
      <w:r>
        <w:t xml:space="preserve"> постановке в режиме доминирующей вязкости. Возможность предварительного расчета значений скорости роста трещину в высоту позволяет сэкономить время при моделировании распространения трещины в рамках </w:t>
      </w:r>
      <w:proofErr w:type="spellStart"/>
      <w:r>
        <w:t>квазитрехмерной</w:t>
      </w:r>
      <w:proofErr w:type="spellEnd"/>
      <w:r>
        <w:t xml:space="preserve"> модели. </w:t>
      </w:r>
    </w:p>
    <w:p w:rsidR="00490F05" w:rsidRDefault="00490F05" w:rsidP="00490F05">
      <w:pPr>
        <w:ind w:firstLine="680"/>
      </w:pPr>
      <w:r>
        <w:t xml:space="preserve">- Программа расчета геометрии трещины в однородной среде с учетом контраста напряжений. Программа позволяет сохранять положение фронта трещины, давление в трещине в конце моделирования, историю изменения раскрытия трещины в источнике, длину и высоту трещины в процессе эволюции трещины. </w:t>
      </w:r>
    </w:p>
    <w:p w:rsidR="00490F05" w:rsidRDefault="00490F05" w:rsidP="00490F05">
      <w:pPr>
        <w:ind w:firstLine="680"/>
      </w:pPr>
      <w:r>
        <w:t xml:space="preserve">- Параллельный алгоритм расчета геометрии трещины ГРП в однородной среде с учетом контраста напряжений. </w:t>
      </w:r>
    </w:p>
    <w:p w:rsidR="00490F05" w:rsidRDefault="00490F05" w:rsidP="00490F05">
      <w:pPr>
        <w:ind w:firstLine="680"/>
      </w:pPr>
      <w:r>
        <w:t xml:space="preserve">- Программа расчета геометрии трещины ГРП в однородной среде с учетом контраста напряжений с использованием параллельного алгоритма. </w:t>
      </w:r>
      <w:r>
        <w:lastRenderedPageBreak/>
        <w:t xml:space="preserve">Программа разработана на основе параллельного алгоритма расчета геометрии трещины ГРП. Программа позволяет сохранять положение фронта трещины, давление в трещине в конце моделирования, историю изменения раскрытия трещины в источнике, длину и высоту трещины в процессе эволюции трещины. </w:t>
      </w:r>
    </w:p>
    <w:p w:rsidR="00490F05" w:rsidRDefault="00490F05" w:rsidP="00490F05">
      <w:pPr>
        <w:ind w:firstLine="680"/>
      </w:pPr>
      <w:r>
        <w:t xml:space="preserve">4. Проведены расчеты для определения равновесной формы трещины и исследования взаимному влиянию трещин: </w:t>
      </w:r>
    </w:p>
    <w:p w:rsidR="00490F05" w:rsidRDefault="00490F05" w:rsidP="00490F05">
      <w:pPr>
        <w:ind w:firstLine="680"/>
      </w:pPr>
      <w:r>
        <w:t xml:space="preserve">- Расчеты равновесной формы трещины при различных контрастах напряжений в квазистатической постановке с использованием разработанной </w:t>
      </w:r>
      <w:proofErr w:type="gramStart"/>
      <w:r>
        <w:t>программы расчета статической формы трещины заданного объема</w:t>
      </w:r>
      <w:proofErr w:type="gramEnd"/>
      <w:r>
        <w:t xml:space="preserve"> в трехслойной среде и обобщение результатов. Описаны результаты работ по проведению расчетов равновесной формы трещины при различных контрастах напряжений и различных </w:t>
      </w:r>
      <w:proofErr w:type="spellStart"/>
      <w:r>
        <w:t>трещиностойкостях</w:t>
      </w:r>
      <w:proofErr w:type="spellEnd"/>
      <w:r>
        <w:t xml:space="preserve"> в квазистатической постановке. </w:t>
      </w:r>
    </w:p>
    <w:p w:rsidR="00490F05" w:rsidRDefault="00490F05" w:rsidP="00490F05">
      <w:pPr>
        <w:ind w:firstLine="680"/>
      </w:pPr>
      <w:r>
        <w:t xml:space="preserve">- Расчеты равновесной формы трещины методом конечных элементов в трехслойной среде с различными упругими модулями и контрастом напряжений и обобщение полученных результатов. Выявлено, что расчеты в пакете ABAQUS для данной задачи, с учетом возможных оптимизаций занимают значительное время. Поэтому, с учетом большого числа возможных параметров, влияющих на равновесную форму трещины, использование данного метода, возможно в связке с другими алгоритмическими методами (такое как машинное обучение) для уменьшения количества расчетов, или как инструмент проверки и верификации других численных методов, например, метода граничных элементов, которые работают значительно быстрее. </w:t>
      </w:r>
    </w:p>
    <w:p w:rsidR="00490F05" w:rsidRDefault="00490F05" w:rsidP="00490F05">
      <w:pPr>
        <w:ind w:firstLine="680"/>
      </w:pPr>
      <w:r>
        <w:t xml:space="preserve">- Расчеты с использованием программы, реализующей метод граничных элементов, и c использованием метода конечных элементов, для сравнения эффективности методов. Проведено сравнение результатов, полученных методом граничных элементов и методом конечных элементов для задачи о равновесной форме трещины в слоистой среде при различных физических параметрах слоев: различные коэффициенты </w:t>
      </w:r>
      <w:proofErr w:type="spellStart"/>
      <w:r>
        <w:t>трещиностойкости</w:t>
      </w:r>
      <w:proofErr w:type="spellEnd"/>
      <w:r>
        <w:t xml:space="preserve">, различных пластовых напряжений. </w:t>
      </w:r>
    </w:p>
    <w:p w:rsidR="00490F05" w:rsidRDefault="00490F05" w:rsidP="00490F05">
      <w:pPr>
        <w:ind w:firstLine="680"/>
      </w:pPr>
      <w:r>
        <w:t xml:space="preserve">- Расчеты для исследования взаимного влияния трещин. Разработана модель распространения нескольких трещин под действием равномерно распределенного внутреннего давления. </w:t>
      </w:r>
    </w:p>
    <w:p w:rsidR="00490F05" w:rsidRDefault="00490F05" w:rsidP="00490F05">
      <w:pPr>
        <w:ind w:firstLine="680"/>
      </w:pPr>
      <w:r>
        <w:t xml:space="preserve">5. Исследована точность расчета раскрытия в физико-математической псевдотрехмерной модели и методом граничных элементов. </w:t>
      </w:r>
    </w:p>
    <w:p w:rsidR="00490F05" w:rsidRDefault="00490F05" w:rsidP="00490F05">
      <w:pPr>
        <w:ind w:firstLine="680"/>
      </w:pPr>
      <w:r>
        <w:t xml:space="preserve">В ходе данного исследования была рассмотрена статическая задача по определению раскрытия трещины </w:t>
      </w:r>
      <w:proofErr w:type="spellStart"/>
      <w:r>
        <w:t>гидроразрыва</w:t>
      </w:r>
      <w:proofErr w:type="spellEnd"/>
      <w:r>
        <w:t xml:space="preserve"> пласта, полученного в псевдотрёхмерной модели. </w:t>
      </w:r>
    </w:p>
    <w:p w:rsidR="00490F05" w:rsidRDefault="00490F05" w:rsidP="00490F05">
      <w:pPr>
        <w:ind w:firstLine="680"/>
      </w:pPr>
      <w:r>
        <w:t xml:space="preserve">Полученные н а данном </w:t>
      </w:r>
      <w:proofErr w:type="gramStart"/>
      <w:r>
        <w:t>этапе</w:t>
      </w:r>
      <w:proofErr w:type="gramEnd"/>
      <w:r>
        <w:t xml:space="preserve"> результаты будут в дальнейшем использоваться для построения математических моделей, алгоритмов и компьютерных программ, которые будут использоваться индустриальным партнером при планировании и контроле операции </w:t>
      </w:r>
      <w:proofErr w:type="spellStart"/>
      <w:r>
        <w:t>гидроразрыва</w:t>
      </w:r>
      <w:proofErr w:type="spellEnd"/>
      <w:r>
        <w:t xml:space="preserve"> пласта.</w:t>
      </w:r>
    </w:p>
    <w:p w:rsidR="00490F05" w:rsidRDefault="00490F05" w:rsidP="00490F05">
      <w:pPr>
        <w:ind w:firstLine="680"/>
      </w:pPr>
      <w:r>
        <w:lastRenderedPageBreak/>
        <w:t xml:space="preserve"> Полученные на данном этапе результаты будут в дальнейшем использоваться для построения математических моделей, алгоритмов и компьютерных программ, которые будут использоваться индустриальным партнером при планировании и контроле операции </w:t>
      </w:r>
      <w:proofErr w:type="spellStart"/>
      <w:r>
        <w:t>гидроразрыва</w:t>
      </w:r>
      <w:proofErr w:type="spellEnd"/>
      <w:r>
        <w:t xml:space="preserve"> пласта.</w:t>
      </w:r>
    </w:p>
    <w:sectPr w:rsidR="0049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05"/>
    <w:rsid w:val="00066826"/>
    <w:rsid w:val="0036761A"/>
    <w:rsid w:val="00490F05"/>
    <w:rsid w:val="00950025"/>
    <w:rsid w:val="00A906F8"/>
    <w:rsid w:val="00F62567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Обычный"/>
    <w:autoRedefine/>
    <w:qFormat/>
    <w:rsid w:val="00490F05"/>
    <w:pPr>
      <w:shd w:val="clear" w:color="auto" w:fill="FFFFFF"/>
      <w:autoSpaceDE w:val="0"/>
      <w:autoSpaceDN w:val="0"/>
      <w:adjustRightInd w:val="0"/>
      <w:ind w:left="29" w:right="10" w:firstLine="307"/>
      <w:jc w:val="both"/>
    </w:pPr>
    <w:rPr>
      <w:iCs/>
      <w:spacing w:val="4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7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6761A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shd w:val="clear" w:color="auto" w:fill="FFFFFF"/>
      <w:lang w:bidi="en-US"/>
    </w:rPr>
  </w:style>
  <w:style w:type="paragraph" w:styleId="a5">
    <w:name w:val="Subtitle"/>
    <w:basedOn w:val="a"/>
    <w:next w:val="a"/>
    <w:link w:val="a6"/>
    <w:qFormat/>
    <w:rsid w:val="0036761A"/>
    <w:pPr>
      <w:numPr>
        <w:ilvl w:val="1"/>
      </w:numPr>
      <w:ind w:left="29" w:firstLine="307"/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36761A"/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  <w:shd w:val="clear" w:color="auto" w:fill="FFFFFF"/>
      <w:lang w:bidi="en-US"/>
    </w:rPr>
  </w:style>
  <w:style w:type="character" w:styleId="a7">
    <w:name w:val="Strong"/>
    <w:basedOn w:val="a0"/>
    <w:qFormat/>
    <w:rsid w:val="0036761A"/>
    <w:rPr>
      <w:b/>
      <w:bCs/>
    </w:rPr>
  </w:style>
  <w:style w:type="paragraph" w:styleId="a8">
    <w:name w:val="No Spacing"/>
    <w:uiPriority w:val="1"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paragraph" w:styleId="2">
    <w:name w:val="Quote"/>
    <w:basedOn w:val="a"/>
    <w:next w:val="a"/>
    <w:link w:val="20"/>
    <w:uiPriority w:val="29"/>
    <w:qFormat/>
    <w:rsid w:val="0036761A"/>
    <w:rPr>
      <w:i/>
      <w:iCs w:val="0"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6761A"/>
    <w:rPr>
      <w:i/>
      <w:color w:val="000000" w:themeColor="text1"/>
      <w:spacing w:val="4"/>
      <w:sz w:val="28"/>
      <w:szCs w:val="28"/>
      <w:shd w:val="clear" w:color="auto" w:fill="FFFFFF"/>
      <w:lang w:bidi="en-US"/>
    </w:rPr>
  </w:style>
  <w:style w:type="character" w:styleId="a9">
    <w:name w:val="Subtle Emphasis"/>
    <w:basedOn w:val="a0"/>
    <w:uiPriority w:val="19"/>
    <w:qFormat/>
    <w:rsid w:val="0036761A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36761A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367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Обычный"/>
    <w:autoRedefine/>
    <w:qFormat/>
    <w:rsid w:val="00490F05"/>
    <w:pPr>
      <w:shd w:val="clear" w:color="auto" w:fill="FFFFFF"/>
      <w:autoSpaceDE w:val="0"/>
      <w:autoSpaceDN w:val="0"/>
      <w:adjustRightInd w:val="0"/>
      <w:ind w:left="29" w:right="10" w:firstLine="307"/>
      <w:jc w:val="both"/>
    </w:pPr>
    <w:rPr>
      <w:iCs/>
      <w:spacing w:val="4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7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6761A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shd w:val="clear" w:color="auto" w:fill="FFFFFF"/>
      <w:lang w:bidi="en-US"/>
    </w:rPr>
  </w:style>
  <w:style w:type="paragraph" w:styleId="a5">
    <w:name w:val="Subtitle"/>
    <w:basedOn w:val="a"/>
    <w:next w:val="a"/>
    <w:link w:val="a6"/>
    <w:qFormat/>
    <w:rsid w:val="0036761A"/>
    <w:pPr>
      <w:numPr>
        <w:ilvl w:val="1"/>
      </w:numPr>
      <w:ind w:left="29" w:firstLine="307"/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36761A"/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  <w:shd w:val="clear" w:color="auto" w:fill="FFFFFF"/>
      <w:lang w:bidi="en-US"/>
    </w:rPr>
  </w:style>
  <w:style w:type="character" w:styleId="a7">
    <w:name w:val="Strong"/>
    <w:basedOn w:val="a0"/>
    <w:qFormat/>
    <w:rsid w:val="0036761A"/>
    <w:rPr>
      <w:b/>
      <w:bCs/>
    </w:rPr>
  </w:style>
  <w:style w:type="paragraph" w:styleId="a8">
    <w:name w:val="No Spacing"/>
    <w:uiPriority w:val="1"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paragraph" w:styleId="2">
    <w:name w:val="Quote"/>
    <w:basedOn w:val="a"/>
    <w:next w:val="a"/>
    <w:link w:val="20"/>
    <w:uiPriority w:val="29"/>
    <w:qFormat/>
    <w:rsid w:val="0036761A"/>
    <w:rPr>
      <w:i/>
      <w:iCs w:val="0"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6761A"/>
    <w:rPr>
      <w:i/>
      <w:color w:val="000000" w:themeColor="text1"/>
      <w:spacing w:val="4"/>
      <w:sz w:val="28"/>
      <w:szCs w:val="28"/>
      <w:shd w:val="clear" w:color="auto" w:fill="FFFFFF"/>
      <w:lang w:bidi="en-US"/>
    </w:rPr>
  </w:style>
  <w:style w:type="character" w:styleId="a9">
    <w:name w:val="Subtle Emphasis"/>
    <w:basedOn w:val="a0"/>
    <w:uiPriority w:val="19"/>
    <w:qFormat/>
    <w:rsid w:val="0036761A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36761A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36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2018-04-11T15:42:00Z</dcterms:created>
  <dcterms:modified xsi:type="dcterms:W3CDTF">2018-04-11T15:49:00Z</dcterms:modified>
</cp:coreProperties>
</file>